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EDB9E" w14:textId="1FD60BCC" w:rsidR="00DC1CD2" w:rsidRPr="0065572E" w:rsidRDefault="00DC1CD2" w:rsidP="00DC1CD2">
      <w:pPr>
        <w:pStyle w:val="Header"/>
        <w:tabs>
          <w:tab w:val="right" w:pos="9639"/>
        </w:tabs>
        <w:jc w:val="both"/>
        <w:rPr>
          <w:rFonts w:cs="Arial"/>
          <w:bCs/>
          <w:i/>
          <w:noProof w:val="0"/>
          <w:sz w:val="32"/>
          <w:lang w:eastAsia="zh-CN"/>
        </w:rPr>
      </w:pPr>
      <w:r w:rsidRPr="0065572E">
        <w:rPr>
          <w:rFonts w:cs="Arial"/>
          <w:sz w:val="24"/>
          <w:lang w:eastAsia="zh-CN"/>
        </w:rPr>
        <w:t>3GPP T</w:t>
      </w:r>
      <w:bookmarkStart w:id="0" w:name="_Ref452454252"/>
      <w:bookmarkEnd w:id="0"/>
      <w:r w:rsidRPr="0065572E">
        <w:rPr>
          <w:rFonts w:cs="Arial"/>
          <w:sz w:val="24"/>
          <w:lang w:eastAsia="zh-CN"/>
        </w:rPr>
        <w:t xml:space="preserve">SG RAN WG2 Meeting </w:t>
      </w:r>
      <w:r w:rsidR="00A035CA" w:rsidRPr="0065572E">
        <w:rPr>
          <w:rFonts w:cs="Arial"/>
          <w:sz w:val="24"/>
          <w:lang w:eastAsia="zh-CN"/>
        </w:rPr>
        <w:t>#99</w:t>
      </w:r>
      <w:r w:rsidR="00F27D92" w:rsidRPr="0065572E">
        <w:rPr>
          <w:rFonts w:cs="Arial"/>
          <w:sz w:val="24"/>
          <w:lang w:eastAsia="zh-CN"/>
        </w:rPr>
        <w:t>bis</w:t>
      </w:r>
      <w:r w:rsidR="00A035CA" w:rsidRPr="0065572E">
        <w:rPr>
          <w:rFonts w:cs="Arial"/>
          <w:sz w:val="24"/>
          <w:lang w:eastAsia="zh-CN"/>
        </w:rPr>
        <w:t xml:space="preserve">              </w:t>
      </w:r>
      <w:r w:rsidR="000B6BDA" w:rsidRPr="0065572E">
        <w:rPr>
          <w:rFonts w:cs="Arial"/>
          <w:bCs/>
          <w:noProof w:val="0"/>
          <w:sz w:val="24"/>
        </w:rPr>
        <w:t xml:space="preserve">                                              </w:t>
      </w:r>
      <w:r w:rsidRPr="0065572E">
        <w:rPr>
          <w:rFonts w:cs="Arial"/>
          <w:bCs/>
          <w:noProof w:val="0"/>
          <w:sz w:val="24"/>
        </w:rPr>
        <w:t>R2-</w:t>
      </w:r>
      <w:r w:rsidR="007513D4" w:rsidRPr="0065572E">
        <w:rPr>
          <w:rFonts w:cs="Arial"/>
          <w:bCs/>
          <w:noProof w:val="0"/>
          <w:sz w:val="24"/>
        </w:rPr>
        <w:t>1710607</w:t>
      </w:r>
    </w:p>
    <w:p w14:paraId="392C34BC" w14:textId="713FA592" w:rsidR="00DC1CD2" w:rsidRPr="0065572E" w:rsidRDefault="00F27D92" w:rsidP="00DC1CD2">
      <w:pPr>
        <w:pStyle w:val="Header"/>
        <w:jc w:val="both"/>
        <w:rPr>
          <w:rFonts w:cs="Arial"/>
          <w:sz w:val="24"/>
          <w:lang w:eastAsia="zh-CN"/>
        </w:rPr>
      </w:pPr>
      <w:r w:rsidRPr="0065572E">
        <w:rPr>
          <w:rFonts w:cs="Arial"/>
          <w:sz w:val="24"/>
          <w:szCs w:val="24"/>
          <w:bdr w:val="none" w:sz="0" w:space="0" w:color="auto" w:frame="1"/>
        </w:rPr>
        <w:t>Prague</w:t>
      </w:r>
      <w:r w:rsidR="00A035CA" w:rsidRPr="0065572E">
        <w:rPr>
          <w:rFonts w:cs="Arial"/>
          <w:sz w:val="24"/>
          <w:szCs w:val="24"/>
          <w:bdr w:val="none" w:sz="0" w:space="0" w:color="auto" w:frame="1"/>
        </w:rPr>
        <w:t xml:space="preserve">, </w:t>
      </w:r>
      <w:r w:rsidRPr="0065572E">
        <w:rPr>
          <w:rFonts w:cs="Arial"/>
          <w:sz w:val="24"/>
          <w:szCs w:val="24"/>
          <w:bdr w:val="none" w:sz="0" w:space="0" w:color="auto" w:frame="1"/>
        </w:rPr>
        <w:t>Czech Republic</w:t>
      </w:r>
      <w:r w:rsidR="00A035CA" w:rsidRPr="0065572E">
        <w:rPr>
          <w:rFonts w:cs="Arial"/>
          <w:sz w:val="24"/>
          <w:szCs w:val="24"/>
          <w:lang w:eastAsia="zh-CN"/>
        </w:rPr>
        <w:t>,</w:t>
      </w:r>
      <w:r w:rsidR="00A035CA" w:rsidRPr="0065572E">
        <w:rPr>
          <w:rFonts w:cs="Arial"/>
          <w:sz w:val="24"/>
          <w:lang w:eastAsia="zh-CN"/>
        </w:rPr>
        <w:t xml:space="preserve"> </w:t>
      </w:r>
      <w:r w:rsidRPr="0065572E">
        <w:rPr>
          <w:rFonts w:cs="Arial"/>
          <w:sz w:val="24"/>
          <w:lang w:eastAsia="zh-CN"/>
        </w:rPr>
        <w:t>9</w:t>
      </w:r>
      <w:r w:rsidR="00A035CA" w:rsidRPr="0065572E">
        <w:rPr>
          <w:rFonts w:cs="Arial"/>
          <w:sz w:val="24"/>
          <w:vertAlign w:val="superscript"/>
          <w:lang w:eastAsia="zh-CN"/>
        </w:rPr>
        <w:t>st</w:t>
      </w:r>
      <w:r w:rsidR="00A035CA" w:rsidRPr="0065572E">
        <w:rPr>
          <w:rFonts w:cs="Arial"/>
          <w:sz w:val="24"/>
          <w:lang w:eastAsia="zh-CN"/>
        </w:rPr>
        <w:t xml:space="preserve"> – </w:t>
      </w:r>
      <w:r w:rsidRPr="0065572E">
        <w:rPr>
          <w:rFonts w:cs="Arial"/>
          <w:sz w:val="24"/>
          <w:lang w:eastAsia="zh-CN"/>
        </w:rPr>
        <w:t>13</w:t>
      </w:r>
      <w:r w:rsidR="00A035CA" w:rsidRPr="0065572E">
        <w:rPr>
          <w:rFonts w:cs="Arial"/>
          <w:sz w:val="24"/>
          <w:vertAlign w:val="superscript"/>
          <w:lang w:eastAsia="zh-CN"/>
        </w:rPr>
        <w:t>th</w:t>
      </w:r>
      <w:r w:rsidR="00A035CA" w:rsidRPr="0065572E">
        <w:rPr>
          <w:rFonts w:cs="Arial"/>
          <w:sz w:val="24"/>
          <w:lang w:eastAsia="zh-CN"/>
        </w:rPr>
        <w:t xml:space="preserve"> </w:t>
      </w:r>
      <w:r w:rsidRPr="0065572E">
        <w:rPr>
          <w:rFonts w:cs="Arial"/>
          <w:sz w:val="24"/>
          <w:lang w:eastAsia="zh-CN"/>
        </w:rPr>
        <w:t>October</w:t>
      </w:r>
      <w:r w:rsidR="00A035CA" w:rsidRPr="0065572E">
        <w:rPr>
          <w:rFonts w:cs="Arial"/>
          <w:sz w:val="24"/>
          <w:lang w:eastAsia="zh-CN"/>
        </w:rPr>
        <w:t xml:space="preserve">, </w:t>
      </w:r>
      <w:r w:rsidR="00DC1CD2" w:rsidRPr="0065572E">
        <w:rPr>
          <w:rFonts w:cs="Arial"/>
          <w:sz w:val="24"/>
          <w:lang w:eastAsia="zh-CN"/>
        </w:rPr>
        <w:t>2017</w:t>
      </w:r>
      <w:r w:rsidR="00090CBF" w:rsidRPr="0065572E">
        <w:rPr>
          <w:rFonts w:cs="Arial"/>
          <w:sz w:val="24"/>
          <w:lang w:eastAsia="zh-CN"/>
        </w:rPr>
        <w:t xml:space="preserve">  </w:t>
      </w:r>
      <w:r w:rsidRPr="0065572E">
        <w:rPr>
          <w:rFonts w:cs="Arial"/>
          <w:sz w:val="24"/>
          <w:lang w:eastAsia="zh-CN"/>
        </w:rPr>
        <w:t xml:space="preserve">                   </w:t>
      </w:r>
    </w:p>
    <w:p w14:paraId="150D53AC" w14:textId="77777777" w:rsidR="00EC3224" w:rsidRPr="0065572E" w:rsidRDefault="00EC3224" w:rsidP="00EC3224">
      <w:pPr>
        <w:pStyle w:val="Header"/>
        <w:spacing w:line="276" w:lineRule="auto"/>
        <w:jc w:val="both"/>
        <w:rPr>
          <w:bCs/>
          <w:noProof w:val="0"/>
          <w:sz w:val="24"/>
          <w:lang w:eastAsia="ja-JP"/>
        </w:rPr>
      </w:pPr>
    </w:p>
    <w:p w14:paraId="3B4FAE00" w14:textId="1BE03C9F" w:rsidR="00EC3224" w:rsidRPr="0065572E" w:rsidRDefault="00EC3224" w:rsidP="00EC3224">
      <w:pPr>
        <w:pStyle w:val="CRCoverPage"/>
        <w:spacing w:line="276" w:lineRule="auto"/>
        <w:jc w:val="both"/>
        <w:rPr>
          <w:rFonts w:eastAsia="SimSun" w:cs="Arial"/>
          <w:b/>
          <w:bCs/>
          <w:sz w:val="24"/>
          <w:lang w:val="en-US" w:eastAsia="zh-CN"/>
        </w:rPr>
      </w:pPr>
      <w:r w:rsidRPr="0065572E">
        <w:rPr>
          <w:rFonts w:cs="Arial"/>
          <w:b/>
          <w:bCs/>
          <w:sz w:val="24"/>
          <w:lang w:val="en-US"/>
        </w:rPr>
        <w:t>Agenda item:</w:t>
      </w:r>
      <w:r w:rsidRPr="0065572E">
        <w:rPr>
          <w:rFonts w:cs="Arial"/>
          <w:b/>
          <w:bCs/>
          <w:sz w:val="24"/>
          <w:lang w:val="en-US"/>
        </w:rPr>
        <w:tab/>
      </w:r>
      <w:r w:rsidRPr="0065572E">
        <w:rPr>
          <w:rFonts w:cs="Arial"/>
          <w:b/>
          <w:bCs/>
          <w:sz w:val="24"/>
          <w:lang w:val="en-US"/>
        </w:rPr>
        <w:tab/>
      </w:r>
      <w:r w:rsidR="00090CBF" w:rsidRPr="0065572E">
        <w:rPr>
          <w:rFonts w:cs="Arial"/>
          <w:bCs/>
          <w:sz w:val="24"/>
          <w:lang w:val="en-US"/>
        </w:rPr>
        <w:t>10.</w:t>
      </w:r>
      <w:r w:rsidR="00594BF1" w:rsidRPr="0065572E">
        <w:rPr>
          <w:rFonts w:cs="Arial"/>
          <w:bCs/>
          <w:sz w:val="24"/>
          <w:lang w:val="en-US"/>
        </w:rPr>
        <w:t>3.1.10</w:t>
      </w:r>
    </w:p>
    <w:p w14:paraId="7AD2F888" w14:textId="77777777" w:rsidR="00EC3224" w:rsidRPr="0065572E" w:rsidRDefault="00EC3224" w:rsidP="00EC3224">
      <w:pPr>
        <w:spacing w:line="276" w:lineRule="auto"/>
        <w:jc w:val="both"/>
        <w:rPr>
          <w:rFonts w:ascii="Arial" w:hAnsi="Arial" w:cs="Arial"/>
          <w:bCs/>
          <w:sz w:val="24"/>
        </w:rPr>
      </w:pPr>
      <w:r w:rsidRPr="0065572E">
        <w:rPr>
          <w:rFonts w:ascii="Arial" w:hAnsi="Arial" w:cs="Arial"/>
          <w:b/>
          <w:bCs/>
          <w:sz w:val="24"/>
        </w:rPr>
        <w:t>Source:</w:t>
      </w:r>
      <w:r w:rsidRPr="0065572E">
        <w:rPr>
          <w:rFonts w:ascii="Arial" w:hAnsi="Arial" w:cs="Arial"/>
          <w:b/>
          <w:bCs/>
          <w:sz w:val="24"/>
        </w:rPr>
        <w:tab/>
      </w:r>
      <w:r w:rsidRPr="0065572E">
        <w:rPr>
          <w:rFonts w:ascii="Arial" w:hAnsi="Arial" w:cs="Arial"/>
          <w:b/>
          <w:bCs/>
          <w:sz w:val="24"/>
        </w:rPr>
        <w:tab/>
      </w:r>
      <w:r w:rsidRPr="0065572E">
        <w:rPr>
          <w:rFonts w:ascii="Arial" w:hAnsi="Arial" w:cs="Arial"/>
          <w:b/>
          <w:bCs/>
          <w:sz w:val="24"/>
        </w:rPr>
        <w:tab/>
      </w:r>
      <w:r w:rsidRPr="0065572E">
        <w:rPr>
          <w:rFonts w:ascii="Arial" w:hAnsi="Arial" w:cs="Arial"/>
          <w:bCs/>
          <w:sz w:val="24"/>
        </w:rPr>
        <w:t>Intel Corporation</w:t>
      </w:r>
    </w:p>
    <w:p w14:paraId="0A958500" w14:textId="09138CD7" w:rsidR="00EC3224" w:rsidRPr="0065572E" w:rsidRDefault="00EC3224" w:rsidP="00EC3224">
      <w:pPr>
        <w:tabs>
          <w:tab w:val="left" w:pos="1985"/>
        </w:tabs>
        <w:spacing w:line="276" w:lineRule="auto"/>
        <w:ind w:left="2880" w:hanging="2880"/>
        <w:jc w:val="both"/>
        <w:rPr>
          <w:rFonts w:ascii="Arial" w:eastAsia="Malgun Gothic" w:hAnsi="Arial" w:cs="Arial"/>
          <w:bCs/>
          <w:sz w:val="24"/>
          <w:lang w:eastAsia="ko-KR"/>
        </w:rPr>
      </w:pPr>
      <w:r w:rsidRPr="0065572E">
        <w:rPr>
          <w:rFonts w:ascii="Arial" w:hAnsi="Arial" w:cs="Arial"/>
          <w:b/>
          <w:bCs/>
          <w:sz w:val="24"/>
        </w:rPr>
        <w:t>Title:</w:t>
      </w:r>
      <w:r w:rsidRPr="0065572E">
        <w:rPr>
          <w:rFonts w:ascii="Arial" w:hAnsi="Arial" w:cs="Arial"/>
          <w:bCs/>
          <w:sz w:val="24"/>
        </w:rPr>
        <w:tab/>
      </w:r>
      <w:r w:rsidRPr="0065572E">
        <w:rPr>
          <w:rFonts w:ascii="Arial" w:hAnsi="Arial" w:cs="Arial"/>
          <w:bCs/>
          <w:sz w:val="24"/>
        </w:rPr>
        <w:tab/>
      </w:r>
      <w:r w:rsidR="00F9014E" w:rsidRPr="0065572E">
        <w:rPr>
          <w:rFonts w:ascii="Arial" w:hAnsi="Arial" w:cs="Arial"/>
          <w:bCs/>
          <w:sz w:val="24"/>
        </w:rPr>
        <w:t>C-DRX enhancement</w:t>
      </w:r>
      <w:r w:rsidRPr="0065572E">
        <w:rPr>
          <w:rFonts w:ascii="Arial" w:hAnsi="Arial" w:cs="Arial"/>
          <w:bCs/>
          <w:sz w:val="24"/>
        </w:rPr>
        <w:t xml:space="preserve"> in NR</w:t>
      </w:r>
    </w:p>
    <w:p w14:paraId="251C13C3" w14:textId="77777777" w:rsidR="00EC3224" w:rsidRPr="0065572E" w:rsidRDefault="00EC3224" w:rsidP="00EC3224">
      <w:pPr>
        <w:spacing w:line="276" w:lineRule="auto"/>
        <w:jc w:val="both"/>
        <w:rPr>
          <w:rFonts w:ascii="Arial" w:hAnsi="Arial" w:cs="Arial"/>
          <w:b/>
          <w:bCs/>
          <w:sz w:val="24"/>
          <w:lang w:eastAsia="zh-CN"/>
        </w:rPr>
      </w:pPr>
      <w:r w:rsidRPr="0065572E">
        <w:rPr>
          <w:rFonts w:ascii="Arial" w:hAnsi="Arial" w:cs="Arial"/>
          <w:b/>
          <w:bCs/>
          <w:sz w:val="24"/>
        </w:rPr>
        <w:t>Document for:</w:t>
      </w:r>
      <w:r w:rsidRPr="0065572E">
        <w:rPr>
          <w:rFonts w:ascii="Arial" w:hAnsi="Arial" w:cs="Arial"/>
          <w:b/>
          <w:bCs/>
          <w:sz w:val="24"/>
        </w:rPr>
        <w:tab/>
      </w:r>
      <w:r w:rsidRPr="0065572E">
        <w:rPr>
          <w:rFonts w:ascii="Arial" w:hAnsi="Arial" w:cs="Arial"/>
          <w:b/>
          <w:bCs/>
          <w:sz w:val="24"/>
        </w:rPr>
        <w:tab/>
      </w:r>
      <w:r w:rsidRPr="0065572E">
        <w:rPr>
          <w:rFonts w:ascii="Arial" w:hAnsi="Arial" w:cs="Arial"/>
          <w:bCs/>
          <w:sz w:val="24"/>
        </w:rPr>
        <w:t>Discussion and decision</w:t>
      </w:r>
    </w:p>
    <w:p w14:paraId="412EF39C" w14:textId="77777777" w:rsidR="00EC3224" w:rsidRPr="0065572E" w:rsidRDefault="00EC3224" w:rsidP="00EA3FD8">
      <w:pPr>
        <w:pStyle w:val="Heading1"/>
      </w:pPr>
      <w:bookmarkStart w:id="1" w:name="_Ref429645891"/>
      <w:r w:rsidRPr="0065572E">
        <w:t>Introduction</w:t>
      </w:r>
      <w:bookmarkEnd w:id="1"/>
    </w:p>
    <w:p w14:paraId="0DCA3C7C" w14:textId="3A1F4824" w:rsidR="00016AA4" w:rsidRPr="0065572E" w:rsidRDefault="00016AA4" w:rsidP="00C46271">
      <w:r w:rsidRPr="0065572E">
        <w:t>In RAN2#97bis</w:t>
      </w:r>
      <w:r w:rsidR="00B145C0" w:rsidRPr="0065572E">
        <w:t xml:space="preserve"> [1]</w:t>
      </w:r>
      <w:r w:rsidRPr="0065572E">
        <w:t>, following agreements were made.</w:t>
      </w:r>
    </w:p>
    <w:p w14:paraId="6682200B" w14:textId="77777777" w:rsidR="00016AA4" w:rsidRPr="0065572E" w:rsidRDefault="00016AA4" w:rsidP="0077190D">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450"/>
        <w:rPr>
          <w:rFonts w:ascii="Times New Roman" w:hAnsi="Times New Roman"/>
          <w:i/>
        </w:rPr>
      </w:pPr>
      <w:r w:rsidRPr="0065572E">
        <w:t>-</w:t>
      </w:r>
      <w:r w:rsidRPr="0065572E">
        <w:tab/>
      </w:r>
      <w:r w:rsidRPr="0065572E">
        <w:rPr>
          <w:rFonts w:ascii="Times New Roman" w:hAnsi="Times New Roman"/>
          <w:i/>
        </w:rPr>
        <w:t>A MAC entity can be in one DRX state (i.e. single on/off time) at any given time.  FFS if multiple configuration are supported.</w:t>
      </w:r>
    </w:p>
    <w:p w14:paraId="2914327C" w14:textId="77777777" w:rsidR="00016AA4" w:rsidRPr="0065572E" w:rsidRDefault="00016AA4" w:rsidP="0077190D">
      <w:pPr>
        <w:pStyle w:val="Doc-text2"/>
        <w:pBdr>
          <w:top w:val="single" w:sz="4" w:space="1" w:color="auto"/>
          <w:left w:val="single" w:sz="4" w:space="4" w:color="auto"/>
          <w:bottom w:val="single" w:sz="4" w:space="1" w:color="auto"/>
          <w:right w:val="single" w:sz="4" w:space="4" w:color="auto"/>
        </w:pBdr>
        <w:tabs>
          <w:tab w:val="left" w:pos="450"/>
        </w:tabs>
        <w:ind w:hanging="1622"/>
        <w:rPr>
          <w:rFonts w:ascii="Times New Roman" w:hAnsi="Times New Roman"/>
          <w:i/>
        </w:rPr>
      </w:pPr>
      <w:r w:rsidRPr="0065572E">
        <w:rPr>
          <w:rFonts w:ascii="Times New Roman" w:hAnsi="Times New Roman"/>
          <w:i/>
        </w:rPr>
        <w:t>-</w:t>
      </w:r>
      <w:r w:rsidRPr="0065572E">
        <w:rPr>
          <w:rFonts w:ascii="Times New Roman" w:hAnsi="Times New Roman"/>
          <w:i/>
        </w:rPr>
        <w:tab/>
        <w:t xml:space="preserve">When MAC entity is awake it monitors “PDCCH” occasion </w:t>
      </w:r>
    </w:p>
    <w:p w14:paraId="06E18A34" w14:textId="77777777" w:rsidR="00016AA4" w:rsidRPr="0065572E" w:rsidRDefault="00016AA4" w:rsidP="0077190D">
      <w:pPr>
        <w:pStyle w:val="Doc-text2"/>
        <w:pBdr>
          <w:top w:val="single" w:sz="4" w:space="1" w:color="auto"/>
          <w:left w:val="single" w:sz="4" w:space="4" w:color="auto"/>
          <w:bottom w:val="single" w:sz="4" w:space="1" w:color="auto"/>
          <w:right w:val="single" w:sz="4" w:space="4" w:color="auto"/>
        </w:pBdr>
        <w:tabs>
          <w:tab w:val="clear" w:pos="1622"/>
          <w:tab w:val="left" w:pos="450"/>
        </w:tabs>
        <w:ind w:left="450" w:hanging="450"/>
        <w:rPr>
          <w:rFonts w:ascii="Times New Roman" w:hAnsi="Times New Roman"/>
          <w:i/>
        </w:rPr>
      </w:pPr>
      <w:r w:rsidRPr="0065572E">
        <w:rPr>
          <w:rFonts w:ascii="Times New Roman" w:hAnsi="Times New Roman"/>
          <w:i/>
        </w:rPr>
        <w:t>-</w:t>
      </w:r>
      <w:r w:rsidRPr="0065572E">
        <w:rPr>
          <w:rFonts w:ascii="Times New Roman" w:hAnsi="Times New Roman"/>
          <w:i/>
        </w:rPr>
        <w:tab/>
        <w:t>In NR, a DRX configuration is described by at least the following configuration parameters: an on duration time, an inactivity time, a retransmission time, short DRX cycles, long DRX cycles</w:t>
      </w:r>
    </w:p>
    <w:p w14:paraId="5326EAEC" w14:textId="77777777" w:rsidR="00A035CA" w:rsidRPr="0065572E" w:rsidRDefault="00A035CA" w:rsidP="00C46271"/>
    <w:p w14:paraId="170F4BC9" w14:textId="762F7362" w:rsidR="00A035CA" w:rsidRPr="0065572E" w:rsidRDefault="00A035CA" w:rsidP="00C46271">
      <w:r w:rsidRPr="0065572E">
        <w:t xml:space="preserve">In RAN2 </w:t>
      </w:r>
      <w:r w:rsidR="001A11D4" w:rsidRPr="0065572E">
        <w:t>adhoc #NR2 meeting [2</w:t>
      </w:r>
      <w:r w:rsidRPr="0065572E">
        <w:t>], following agreements were made.</w:t>
      </w:r>
    </w:p>
    <w:p w14:paraId="4E3DE66E" w14:textId="77777777" w:rsidR="00A035CA" w:rsidRPr="0065572E" w:rsidRDefault="00A035CA" w:rsidP="00F05897">
      <w:pPr>
        <w:pStyle w:val="Doc-text2"/>
        <w:numPr>
          <w:ilvl w:val="0"/>
          <w:numId w:val="26"/>
        </w:numPr>
        <w:pBdr>
          <w:top w:val="single" w:sz="4" w:space="1" w:color="auto"/>
          <w:left w:val="single" w:sz="4" w:space="4" w:color="auto"/>
          <w:bottom w:val="single" w:sz="4" w:space="1" w:color="auto"/>
          <w:right w:val="single" w:sz="4" w:space="4" w:color="auto"/>
        </w:pBdr>
        <w:spacing w:beforeLines="40" w:before="96"/>
        <w:rPr>
          <w:rFonts w:ascii="Times New Roman" w:hAnsi="Times New Roman"/>
          <w:i/>
        </w:rPr>
      </w:pPr>
      <w:r w:rsidRPr="0065572E">
        <w:rPr>
          <w:rFonts w:ascii="Times New Roman" w:hAnsi="Times New Roman"/>
          <w:i/>
        </w:rPr>
        <w:t xml:space="preserve">As a baseline, a single DRX configuration like in LTE will be supported.  </w:t>
      </w:r>
    </w:p>
    <w:p w14:paraId="37BDF57C" w14:textId="77777777" w:rsidR="00A035CA" w:rsidRPr="0065572E" w:rsidRDefault="00A035CA" w:rsidP="00F05897">
      <w:pPr>
        <w:pStyle w:val="Doc-text2"/>
        <w:numPr>
          <w:ilvl w:val="0"/>
          <w:numId w:val="26"/>
        </w:numPr>
        <w:pBdr>
          <w:top w:val="single" w:sz="4" w:space="1" w:color="auto"/>
          <w:left w:val="single" w:sz="4" w:space="4" w:color="auto"/>
          <w:bottom w:val="single" w:sz="4" w:space="1" w:color="auto"/>
          <w:right w:val="single" w:sz="4" w:space="4" w:color="auto"/>
        </w:pBdr>
        <w:spacing w:beforeLines="40" w:before="96"/>
        <w:rPr>
          <w:rFonts w:ascii="Times New Roman" w:hAnsi="Times New Roman"/>
          <w:i/>
        </w:rPr>
      </w:pPr>
      <w:r w:rsidRPr="0065572E">
        <w:rPr>
          <w:rFonts w:ascii="Times New Roman" w:hAnsi="Times New Roman"/>
          <w:i/>
        </w:rPr>
        <w:t xml:space="preserve">The DL and UL HARQ RTT timer are not static values.   FFS if the timer is removed or how it is set.   </w:t>
      </w:r>
    </w:p>
    <w:p w14:paraId="120C30C9" w14:textId="77777777" w:rsidR="00A035CA" w:rsidRPr="0065572E" w:rsidRDefault="00A035CA" w:rsidP="00C46271"/>
    <w:p w14:paraId="34679742" w14:textId="2D5A313E" w:rsidR="00F27D92" w:rsidRPr="0065572E" w:rsidRDefault="00F27D92" w:rsidP="00C46271">
      <w:r w:rsidRPr="0065572E">
        <w:t>In RAN2 # 99 meeting [</w:t>
      </w:r>
      <w:r w:rsidR="001A11D4" w:rsidRPr="0065572E">
        <w:t>3</w:t>
      </w:r>
      <w:r w:rsidRPr="0065572E">
        <w:t>], following agreements were made</w:t>
      </w:r>
    </w:p>
    <w:p w14:paraId="292FAE30" w14:textId="77777777" w:rsidR="00F27D92" w:rsidRPr="0065572E" w:rsidRDefault="00F27D92" w:rsidP="00F27D92">
      <w:pPr>
        <w:pStyle w:val="Doc-text2"/>
        <w:pBdr>
          <w:top w:val="single" w:sz="4" w:space="1" w:color="auto"/>
          <w:left w:val="single" w:sz="4" w:space="4" w:color="auto"/>
          <w:bottom w:val="single" w:sz="4" w:space="1" w:color="auto"/>
          <w:right w:val="single" w:sz="4" w:space="4" w:color="auto"/>
        </w:pBdr>
        <w:rPr>
          <w:b/>
          <w:i/>
        </w:rPr>
      </w:pPr>
      <w:r w:rsidRPr="0065572E">
        <w:rPr>
          <w:b/>
          <w:i/>
        </w:rPr>
        <w:t>Agreements:</w:t>
      </w:r>
    </w:p>
    <w:p w14:paraId="253A3D62" w14:textId="3F366744" w:rsidR="00F27D92" w:rsidRPr="0065572E" w:rsidRDefault="00F27D92" w:rsidP="00FD5BFE">
      <w:pPr>
        <w:pStyle w:val="Doc-text2"/>
        <w:numPr>
          <w:ilvl w:val="0"/>
          <w:numId w:val="32"/>
        </w:numPr>
        <w:pBdr>
          <w:top w:val="single" w:sz="4" w:space="1" w:color="auto"/>
          <w:left w:val="single" w:sz="4" w:space="4" w:color="auto"/>
          <w:bottom w:val="single" w:sz="4" w:space="1" w:color="auto"/>
          <w:right w:val="single" w:sz="4" w:space="4" w:color="auto"/>
        </w:pBdr>
        <w:rPr>
          <w:i/>
        </w:rPr>
      </w:pPr>
      <w:r w:rsidRPr="0065572E">
        <w:rPr>
          <w:i/>
        </w:rPr>
        <w:t>The unit of Onduration and drx-inactivity is numerology independent and based on ms.  The minimum value can be less than 1ms.  The values are FFS.</w:t>
      </w:r>
    </w:p>
    <w:p w14:paraId="46519931" w14:textId="77777777" w:rsidR="00F27D92" w:rsidRPr="0065572E" w:rsidRDefault="00F27D92" w:rsidP="00F27D92">
      <w:pPr>
        <w:pStyle w:val="Doc-text2"/>
        <w:pBdr>
          <w:top w:val="single" w:sz="4" w:space="1" w:color="auto"/>
          <w:left w:val="single" w:sz="4" w:space="4" w:color="auto"/>
          <w:bottom w:val="single" w:sz="4" w:space="1" w:color="auto"/>
          <w:right w:val="single" w:sz="4" w:space="4" w:color="auto"/>
        </w:pBdr>
        <w:rPr>
          <w:i/>
        </w:rPr>
      </w:pPr>
      <w:r w:rsidRPr="0065572E">
        <w:rPr>
          <w:i/>
        </w:rPr>
        <w:t>2.</w:t>
      </w:r>
      <w:r w:rsidRPr="0065572E">
        <w:rPr>
          <w:i/>
        </w:rPr>
        <w:tab/>
        <w:t xml:space="preserve">The long and short DRX cycles should be in ms.  </w:t>
      </w:r>
    </w:p>
    <w:p w14:paraId="52885A65" w14:textId="77777777" w:rsidR="00913BF9" w:rsidRPr="0065572E" w:rsidRDefault="00F27D92" w:rsidP="00F27D92">
      <w:pPr>
        <w:pStyle w:val="Doc-text2"/>
        <w:pBdr>
          <w:top w:val="single" w:sz="4" w:space="1" w:color="auto"/>
          <w:left w:val="single" w:sz="4" w:space="4" w:color="auto"/>
          <w:bottom w:val="single" w:sz="4" w:space="1" w:color="auto"/>
          <w:right w:val="single" w:sz="4" w:space="4" w:color="auto"/>
        </w:pBdr>
        <w:rPr>
          <w:i/>
        </w:rPr>
      </w:pPr>
      <w:r w:rsidRPr="0065572E">
        <w:rPr>
          <w:i/>
        </w:rPr>
        <w:t>3.</w:t>
      </w:r>
      <w:r w:rsidRPr="0065572E">
        <w:rPr>
          <w:i/>
        </w:rPr>
        <w:tab/>
        <w:t>FFS if HARQ RTT can or should be derived from dynamically signalled K parameters over DCI or if HARQ RTT is configured by RRC</w:t>
      </w:r>
    </w:p>
    <w:p w14:paraId="436EB64E" w14:textId="18E6B58E" w:rsidR="00F27D92" w:rsidRPr="0065572E" w:rsidRDefault="00913BF9" w:rsidP="00F27D92">
      <w:pPr>
        <w:pStyle w:val="Doc-text2"/>
        <w:pBdr>
          <w:top w:val="single" w:sz="4" w:space="1" w:color="auto"/>
          <w:left w:val="single" w:sz="4" w:space="4" w:color="auto"/>
          <w:bottom w:val="single" w:sz="4" w:space="1" w:color="auto"/>
          <w:right w:val="single" w:sz="4" w:space="4" w:color="auto"/>
        </w:pBdr>
        <w:rPr>
          <w:i/>
        </w:rPr>
      </w:pPr>
      <w:r w:rsidRPr="0065572E">
        <w:rPr>
          <w:i/>
        </w:rPr>
        <w:t xml:space="preserve">     </w:t>
      </w:r>
      <w:r w:rsidRPr="0065572E">
        <w:rPr>
          <w:i/>
        </w:rPr>
        <w:sym w:font="Wingdings" w:char="F0E0"/>
      </w:r>
      <w:r w:rsidRPr="0065572E">
        <w:rPr>
          <w:i/>
        </w:rPr>
        <w:t xml:space="preserve"> </w:t>
      </w:r>
      <w:r w:rsidR="00FD5BFE" w:rsidRPr="0065572E">
        <w:rPr>
          <w:i/>
        </w:rPr>
        <w:t>No need,</w:t>
      </w:r>
    </w:p>
    <w:p w14:paraId="0954AF72" w14:textId="77777777" w:rsidR="00F27D92" w:rsidRPr="0065572E" w:rsidRDefault="00F27D92" w:rsidP="00F27D92">
      <w:pPr>
        <w:pStyle w:val="Doc-text2"/>
        <w:pBdr>
          <w:top w:val="single" w:sz="4" w:space="1" w:color="auto"/>
          <w:left w:val="single" w:sz="4" w:space="4" w:color="auto"/>
          <w:bottom w:val="single" w:sz="4" w:space="1" w:color="auto"/>
          <w:right w:val="single" w:sz="4" w:space="4" w:color="auto"/>
        </w:pBdr>
        <w:rPr>
          <w:i/>
        </w:rPr>
      </w:pPr>
      <w:r w:rsidRPr="0065572E">
        <w:rPr>
          <w:i/>
        </w:rPr>
        <w:t>4.</w:t>
      </w:r>
      <w:r w:rsidRPr="0065572E">
        <w:rPr>
          <w:i/>
        </w:rPr>
        <w:tab/>
        <w:t>HARQ RTT and DL/UL retransmission timers are dependent on numerology of corresponding scheduled transmission (FFS whether it is PDCCH/PUSCH/PDSCH).  The actual unit is FFS (e.g. PDCCH monitoring occasions, number of slots/PDCCH slots, ms (last resort), etc.)</w:t>
      </w:r>
    </w:p>
    <w:p w14:paraId="10DB6B7A" w14:textId="77777777" w:rsidR="00F27D92" w:rsidRPr="0065572E" w:rsidRDefault="00F27D92" w:rsidP="00F27D92">
      <w:pPr>
        <w:pStyle w:val="Doc-text2"/>
        <w:pBdr>
          <w:top w:val="single" w:sz="4" w:space="1" w:color="auto"/>
          <w:left w:val="single" w:sz="4" w:space="4" w:color="auto"/>
          <w:bottom w:val="single" w:sz="4" w:space="1" w:color="auto"/>
          <w:right w:val="single" w:sz="4" w:space="4" w:color="auto"/>
        </w:pBdr>
        <w:rPr>
          <w:i/>
        </w:rPr>
      </w:pPr>
      <w:r w:rsidRPr="0065572E">
        <w:rPr>
          <w:i/>
        </w:rPr>
        <w:t>5.   As in LTE, include functionality related to the MAC CEs DRX Command and Long DRX Command</w:t>
      </w:r>
    </w:p>
    <w:p w14:paraId="1F015858" w14:textId="6FCD4075" w:rsidR="00FE568D" w:rsidRPr="0065572E" w:rsidRDefault="00B736F3" w:rsidP="00C46271">
      <w:r w:rsidRPr="0065572E">
        <w:t>In RAN1 # 90 meeting</w:t>
      </w:r>
      <w:r w:rsidR="00AC5EAD" w:rsidRPr="0065572E">
        <w:t xml:space="preserve"> [5]</w:t>
      </w:r>
      <w:r w:rsidRPr="0065572E">
        <w:t>, following agreements were made.</w:t>
      </w:r>
    </w:p>
    <w:tbl>
      <w:tblPr>
        <w:tblStyle w:val="TableGrid"/>
        <w:tblW w:w="0" w:type="auto"/>
        <w:tblLook w:val="04A0" w:firstRow="1" w:lastRow="0" w:firstColumn="1" w:lastColumn="0" w:noHBand="0" w:noVBand="1"/>
      </w:tblPr>
      <w:tblGrid>
        <w:gridCol w:w="9350"/>
      </w:tblGrid>
      <w:tr w:rsidR="00B736F3" w:rsidRPr="0065572E" w14:paraId="7D58D602" w14:textId="77777777" w:rsidTr="00B736F3">
        <w:tc>
          <w:tcPr>
            <w:tcW w:w="9350" w:type="dxa"/>
          </w:tcPr>
          <w:p w14:paraId="2B2E5694" w14:textId="0A7695D1" w:rsidR="00B736F3" w:rsidRPr="0065572E" w:rsidRDefault="00B736F3" w:rsidP="00B736F3">
            <w:pPr>
              <w:pStyle w:val="ListParagraph"/>
              <w:numPr>
                <w:ilvl w:val="0"/>
                <w:numId w:val="41"/>
              </w:numPr>
              <w:rPr>
                <w:i/>
              </w:rPr>
            </w:pPr>
            <w:r w:rsidRPr="0065572E">
              <w:rPr>
                <w:i/>
              </w:rPr>
              <w:t>Support activation/deactivation of DL bandwidth part by means of timer for a UE to switch its active DL bandwidth part to a default DL bandwidth part</w:t>
            </w:r>
          </w:p>
          <w:p w14:paraId="2BBC459B" w14:textId="295A6F58" w:rsidR="00B736F3" w:rsidRPr="0065572E" w:rsidRDefault="00B736F3" w:rsidP="00B736F3">
            <w:pPr>
              <w:pStyle w:val="ListParagraph"/>
              <w:numPr>
                <w:ilvl w:val="1"/>
                <w:numId w:val="41"/>
              </w:numPr>
              <w:rPr>
                <w:i/>
              </w:rPr>
            </w:pPr>
            <w:r w:rsidRPr="0065572E">
              <w:rPr>
                <w:i/>
              </w:rPr>
              <w:t xml:space="preserve">The default DL bandwidth part can be the initial active DL bandwidth part defined above </w:t>
            </w:r>
          </w:p>
          <w:p w14:paraId="70C71CFA" w14:textId="47D4D95E" w:rsidR="00B736F3" w:rsidRPr="0065572E" w:rsidRDefault="00B736F3" w:rsidP="00B736F3">
            <w:pPr>
              <w:pStyle w:val="ListParagraph"/>
              <w:numPr>
                <w:ilvl w:val="1"/>
                <w:numId w:val="41"/>
              </w:numPr>
              <w:rPr>
                <w:i/>
              </w:rPr>
            </w:pPr>
            <w:r w:rsidRPr="0065572E">
              <w:rPr>
                <w:i/>
              </w:rPr>
              <w:t>FFS: The default DL bandwidth part can be reconfigured by the network</w:t>
            </w:r>
          </w:p>
          <w:p w14:paraId="21AFA293" w14:textId="0FE71EC4" w:rsidR="00B736F3" w:rsidRPr="0065572E" w:rsidRDefault="00B736F3" w:rsidP="00B736F3">
            <w:pPr>
              <w:pStyle w:val="ListParagraph"/>
              <w:numPr>
                <w:ilvl w:val="1"/>
                <w:numId w:val="41"/>
              </w:numPr>
              <w:rPr>
                <w:i/>
              </w:rPr>
            </w:pPr>
            <w:r w:rsidRPr="0065572E">
              <w:rPr>
                <w:i/>
              </w:rPr>
              <w:t>FFS: detailed mechanism of timer-based solution (e.g. introducing a new timer or reusing DRX timer)</w:t>
            </w:r>
          </w:p>
          <w:p w14:paraId="02727E02" w14:textId="2EA89E1B" w:rsidR="00B736F3" w:rsidRPr="0065572E" w:rsidRDefault="00B736F3" w:rsidP="00B736F3">
            <w:pPr>
              <w:pStyle w:val="ListParagraph"/>
              <w:numPr>
                <w:ilvl w:val="1"/>
                <w:numId w:val="41"/>
              </w:numPr>
            </w:pPr>
            <w:r w:rsidRPr="0065572E">
              <w:rPr>
                <w:i/>
              </w:rPr>
              <w:t>FFS: other conditions to switch to default DL bandwidth part</w:t>
            </w:r>
          </w:p>
        </w:tc>
      </w:tr>
    </w:tbl>
    <w:p w14:paraId="31DBAE81" w14:textId="77777777" w:rsidR="00B736F3" w:rsidRPr="0065572E" w:rsidRDefault="00B736F3" w:rsidP="00C46271"/>
    <w:p w14:paraId="33BB737C" w14:textId="4E1C9652" w:rsidR="00EC3224" w:rsidRPr="0065572E" w:rsidRDefault="00EC3224" w:rsidP="00C46271">
      <w:r w:rsidRPr="0065572E">
        <w:t>In this document, we discuss</w:t>
      </w:r>
      <w:r w:rsidR="00B145C0" w:rsidRPr="0065572E">
        <w:t xml:space="preserve"> </w:t>
      </w:r>
      <w:r w:rsidR="00B56792" w:rsidRPr="0065572E">
        <w:t xml:space="preserve">the </w:t>
      </w:r>
      <w:r w:rsidR="00BF67A3" w:rsidRPr="0065572E">
        <w:t>remaining issues on HARQ RTT timer, long DRX MAC CE command and autonomous BWP switching with DRX operation</w:t>
      </w:r>
      <w:r w:rsidR="00661B0A" w:rsidRPr="0065572E">
        <w:t>.</w:t>
      </w:r>
    </w:p>
    <w:p w14:paraId="6BC4397B" w14:textId="1F897E28" w:rsidR="00D008A9" w:rsidRPr="0065572E" w:rsidRDefault="006E3858" w:rsidP="000F42B9">
      <w:pPr>
        <w:pStyle w:val="Heading1"/>
      </w:pPr>
      <w:r w:rsidRPr="0065572E">
        <w:t>Discussion</w:t>
      </w:r>
    </w:p>
    <w:p w14:paraId="41D9B125" w14:textId="77777777" w:rsidR="00FE568D" w:rsidRPr="0065572E" w:rsidRDefault="00FE568D" w:rsidP="00FE568D">
      <w:pPr>
        <w:pStyle w:val="Heading2"/>
      </w:pPr>
      <w:bookmarkStart w:id="2" w:name="_Toc465868500"/>
      <w:bookmarkStart w:id="3" w:name="_Toc466027729"/>
      <w:bookmarkStart w:id="4" w:name="_Toc466028396"/>
      <w:bookmarkStart w:id="5" w:name="_Toc466040661"/>
      <w:bookmarkStart w:id="6" w:name="_Toc466045641"/>
      <w:bookmarkStart w:id="7" w:name="_Toc466045664"/>
      <w:bookmarkStart w:id="8" w:name="_Toc466061037"/>
      <w:bookmarkStart w:id="9" w:name="_Toc466061104"/>
      <w:bookmarkStart w:id="10" w:name="_Toc466061858"/>
      <w:bookmarkStart w:id="11" w:name="_Toc468890154"/>
      <w:bookmarkStart w:id="12" w:name="_Toc471160386"/>
      <w:bookmarkStart w:id="13" w:name="_Toc471307474"/>
      <w:bookmarkStart w:id="14" w:name="_Toc471472873"/>
      <w:bookmarkStart w:id="15" w:name="_Toc471472941"/>
      <w:bookmarkStart w:id="16" w:name="_Toc471473047"/>
      <w:bookmarkStart w:id="17" w:name="_Toc471489994"/>
      <w:bookmarkStart w:id="18" w:name="_Toc471490348"/>
      <w:bookmarkStart w:id="19" w:name="_Toc473647365"/>
      <w:bookmarkStart w:id="20" w:name="_Toc473756685"/>
      <w:bookmarkStart w:id="21" w:name="_Toc473839300"/>
      <w:bookmarkStart w:id="22" w:name="_Toc473903704"/>
      <w:r w:rsidRPr="0065572E">
        <w:t>HARQ RTT timer</w:t>
      </w:r>
    </w:p>
    <w:p w14:paraId="576DC191" w14:textId="77777777" w:rsidR="00FE568D" w:rsidRPr="0065572E" w:rsidRDefault="00FE568D" w:rsidP="00FE568D">
      <w:pPr>
        <w:rPr>
          <w:lang w:val="en-GB" w:eastAsia="x-none"/>
        </w:rPr>
      </w:pPr>
      <w:r w:rsidRPr="0065572E">
        <w:rPr>
          <w:lang w:val="en-GB" w:eastAsia="x-none"/>
        </w:rPr>
        <w:t>In LTE legacy DRX procedure, UE starts the HARQ RTT or UL HARQ RTT timer upon data reception in PDSCH or transmission in PUSCH. There is a gap between PUSCH transmission and UL grant reception or PDSCH reception and a DL assignment. During this gap a UE is not required to receive anything for the HARQ process, so a HARQ RTT timer of 8 subframe or UL HARQ RTT timer of 4 subframes is started and hence saves power in case DRX inactivity timer has already expired.</w:t>
      </w:r>
    </w:p>
    <w:p w14:paraId="30C1E05F" w14:textId="5FC2EF7C" w:rsidR="00FE568D" w:rsidRPr="0065572E" w:rsidRDefault="00FE568D" w:rsidP="00FE568D">
      <w:pPr>
        <w:rPr>
          <w:lang w:val="en-GB"/>
        </w:rPr>
      </w:pPr>
      <w:r w:rsidRPr="0065572E">
        <w:rPr>
          <w:lang w:val="en-GB"/>
        </w:rPr>
        <w:t xml:space="preserve">Similar to the DRX retransmission timer, the HARQ RTT timer for UL or DL is also triggered for a TB being handled by a HARQ process. The DL HARQ RTT can be defined as K1 + </w:t>
      </w:r>
      <w:r w:rsidR="007C31A4" w:rsidRPr="0065572E">
        <w:rPr>
          <w:lang w:val="en-GB"/>
        </w:rPr>
        <w:t>K3 (</w:t>
      </w:r>
      <w:r w:rsidRPr="0065572E">
        <w:rPr>
          <w:lang w:val="en-GB"/>
        </w:rPr>
        <w:t>gNB processing time for ack/nack de</w:t>
      </w:r>
      <w:r w:rsidR="007C31A4" w:rsidRPr="0065572E">
        <w:rPr>
          <w:lang w:val="en-GB"/>
        </w:rPr>
        <w:t>tection and DL PDU preparation</w:t>
      </w:r>
      <w:r w:rsidRPr="0065572E">
        <w:rPr>
          <w:lang w:val="en-GB"/>
        </w:rPr>
        <w:t xml:space="preserve">) and UL HARQ RTT can be defined as </w:t>
      </w:r>
      <w:r w:rsidR="00FD5BFE" w:rsidRPr="0065572E">
        <w:rPr>
          <w:lang w:val="en-GB"/>
        </w:rPr>
        <w:t>gNB processing time (between PUSCH transmission and DL ACK/NACK)</w:t>
      </w:r>
      <w:r w:rsidRPr="0065572E">
        <w:rPr>
          <w:lang w:val="en-GB"/>
        </w:rPr>
        <w:t xml:space="preserve"> where K is defines as follows.</w:t>
      </w:r>
    </w:p>
    <w:p w14:paraId="4ED28ECC" w14:textId="7EBCF62E" w:rsidR="00C9555E" w:rsidRPr="0065572E" w:rsidRDefault="00C9555E" w:rsidP="00FE568D">
      <w:pPr>
        <w:rPr>
          <w:lang w:val="en-GB"/>
        </w:rPr>
      </w:pPr>
      <w:r w:rsidRPr="0065572E">
        <w:rPr>
          <w:lang w:val="en-GB"/>
        </w:rPr>
        <w:t>K0: Delay between DL grant and corresponding DL data (PDSCH) reception</w:t>
      </w:r>
    </w:p>
    <w:p w14:paraId="323D4D41" w14:textId="7AA39653" w:rsidR="00C9555E" w:rsidRPr="0065572E" w:rsidRDefault="00C9555E" w:rsidP="00FE568D">
      <w:pPr>
        <w:rPr>
          <w:lang w:val="en-GB"/>
        </w:rPr>
      </w:pPr>
      <w:r w:rsidRPr="0065572E">
        <w:rPr>
          <w:lang w:val="en-GB"/>
        </w:rPr>
        <w:t>K1:</w:t>
      </w:r>
      <w:r w:rsidRPr="0065572E">
        <w:t xml:space="preserve"> </w:t>
      </w:r>
      <w:r w:rsidRPr="0065572E">
        <w:rPr>
          <w:lang w:val="en-GB"/>
        </w:rPr>
        <w:t xml:space="preserve">Delay between DL data (PDSCH) reception and corresponding acknowledgement transmission on UL </w:t>
      </w:r>
    </w:p>
    <w:p w14:paraId="74C98AE8" w14:textId="2B815F65" w:rsidR="00C9555E" w:rsidRPr="0065572E" w:rsidRDefault="00C9555E" w:rsidP="00FE568D">
      <w:pPr>
        <w:rPr>
          <w:lang w:val="en-GB"/>
        </w:rPr>
      </w:pPr>
      <w:r w:rsidRPr="0065572E">
        <w:rPr>
          <w:lang w:val="en-GB"/>
        </w:rPr>
        <w:t>K2:</w:t>
      </w:r>
      <w:r w:rsidRPr="0065572E">
        <w:t xml:space="preserve"> </w:t>
      </w:r>
      <w:r w:rsidRPr="0065572E">
        <w:rPr>
          <w:lang w:val="en-GB"/>
        </w:rPr>
        <w:t>Delay between UL grant reception in DL and UL data (PUSCH) transmission</w:t>
      </w:r>
    </w:p>
    <w:p w14:paraId="01EE000C" w14:textId="5123A6CD" w:rsidR="00C9555E" w:rsidRPr="0065572E" w:rsidRDefault="00C9555E" w:rsidP="00FE568D">
      <w:pPr>
        <w:rPr>
          <w:lang w:val="en-GB"/>
        </w:rPr>
      </w:pPr>
      <w:r w:rsidRPr="0065572E">
        <w:rPr>
          <w:lang w:val="en-GB"/>
        </w:rPr>
        <w:t>K3:</w:t>
      </w:r>
      <w:r w:rsidRPr="0065572E">
        <w:t xml:space="preserve"> </w:t>
      </w:r>
      <w:r w:rsidRPr="0065572E">
        <w:rPr>
          <w:lang w:val="en-GB"/>
        </w:rPr>
        <w:t>Delay between ACK/NAK reception in UL and corresponding retran</w:t>
      </w:r>
      <w:r w:rsidR="007E1A98" w:rsidRPr="0065572E">
        <w:rPr>
          <w:lang w:val="en-GB"/>
        </w:rPr>
        <w:t xml:space="preserve">smission of data (PDSCH) on DL </w:t>
      </w:r>
    </w:p>
    <w:p w14:paraId="24F72CF5" w14:textId="53F99098" w:rsidR="00FE568D" w:rsidRPr="0065572E" w:rsidRDefault="00074D61" w:rsidP="00FE568D">
      <w:pPr>
        <w:rPr>
          <w:lang w:val="en-GB"/>
        </w:rPr>
      </w:pPr>
      <w:r w:rsidRPr="0065572E">
        <w:rPr>
          <w:lang w:val="en-GB"/>
        </w:rPr>
        <w:t xml:space="preserve">Value of K </w:t>
      </w:r>
      <w:r w:rsidR="00C9555E" w:rsidRPr="0065572E">
        <w:rPr>
          <w:lang w:val="en-GB"/>
        </w:rPr>
        <w:t xml:space="preserve">is dependent on whether the </w:t>
      </w:r>
      <w:r w:rsidR="00FD5BFE" w:rsidRPr="0065572E">
        <w:rPr>
          <w:lang w:val="en-GB"/>
        </w:rPr>
        <w:t>mini-slot</w:t>
      </w:r>
      <w:r w:rsidR="00C9555E" w:rsidRPr="0065572E">
        <w:rPr>
          <w:lang w:val="en-GB"/>
        </w:rPr>
        <w:t xml:space="preserve"> based or slot based scheduling is used. </w:t>
      </w:r>
      <w:r w:rsidR="00051683" w:rsidRPr="0065572E">
        <w:rPr>
          <w:lang w:val="en-GB"/>
        </w:rPr>
        <w:t>The value of K0 and K1 may be explicitly indicated in DCI but the value of K3 may need to be configured by RRC also the value of K2 depends on UE capability. Therefore, value of HARQ RTT may not be fully indicated in the DCI.</w:t>
      </w:r>
    </w:p>
    <w:p w14:paraId="2697B91E" w14:textId="57250C68" w:rsidR="00C9555E" w:rsidRPr="0065572E" w:rsidRDefault="00C9555E" w:rsidP="008020A1">
      <w:pPr>
        <w:pStyle w:val="Observationstyle"/>
        <w:rPr>
          <w:color w:val="auto"/>
        </w:rPr>
      </w:pPr>
      <w:bookmarkStart w:id="23" w:name="_Toc494155071"/>
      <w:bookmarkStart w:id="24" w:name="_Toc494155606"/>
      <w:bookmarkStart w:id="25" w:name="_Toc494155891"/>
      <w:bookmarkStart w:id="26" w:name="_Toc494283403"/>
      <w:bookmarkStart w:id="27" w:name="_Toc494391001"/>
      <w:bookmarkStart w:id="28" w:name="_Toc494401163"/>
      <w:bookmarkStart w:id="29" w:name="_Toc494405096"/>
      <w:r w:rsidRPr="0065572E">
        <w:rPr>
          <w:color w:val="auto"/>
        </w:rPr>
        <w:t>The value of HARQ RTT may not be fully indicated in the DCI.</w:t>
      </w:r>
      <w:bookmarkEnd w:id="23"/>
      <w:bookmarkEnd w:id="24"/>
      <w:bookmarkEnd w:id="25"/>
      <w:bookmarkEnd w:id="26"/>
      <w:bookmarkEnd w:id="27"/>
      <w:bookmarkEnd w:id="28"/>
      <w:bookmarkEnd w:id="29"/>
    </w:p>
    <w:p w14:paraId="25A57277" w14:textId="794D25FD" w:rsidR="00C9555E" w:rsidRPr="0065572E" w:rsidRDefault="00C9555E" w:rsidP="00C9555E">
      <w:pPr>
        <w:pStyle w:val="Recommend-1"/>
        <w:rPr>
          <w:lang w:val="en-GB"/>
        </w:rPr>
      </w:pPr>
      <w:bookmarkStart w:id="30" w:name="_Toc494155076"/>
      <w:bookmarkStart w:id="31" w:name="_Toc494155609"/>
      <w:bookmarkStart w:id="32" w:name="_Toc494155894"/>
      <w:bookmarkStart w:id="33" w:name="_Toc494283407"/>
      <w:bookmarkStart w:id="34" w:name="_Toc494391004"/>
      <w:bookmarkStart w:id="35" w:name="_Toc494401167"/>
      <w:bookmarkStart w:id="36" w:name="_Toc494401227"/>
      <w:bookmarkStart w:id="37" w:name="_Toc494405099"/>
      <w:r w:rsidRPr="0065572E">
        <w:rPr>
          <w:lang w:val="en-GB"/>
        </w:rPr>
        <w:t>RAN1 input on the unit of value K is required to determine the unit of HARQ RTT timer.</w:t>
      </w:r>
      <w:bookmarkEnd w:id="30"/>
      <w:bookmarkEnd w:id="31"/>
      <w:bookmarkEnd w:id="32"/>
      <w:bookmarkEnd w:id="33"/>
      <w:bookmarkEnd w:id="34"/>
      <w:bookmarkEnd w:id="35"/>
      <w:bookmarkEnd w:id="36"/>
      <w:bookmarkEnd w:id="37"/>
    </w:p>
    <w:p w14:paraId="2262E67A" w14:textId="77777777" w:rsidR="006E3858" w:rsidRPr="0065572E" w:rsidRDefault="006E3858" w:rsidP="00822E6C">
      <w:pPr>
        <w:pStyle w:val="Heading2"/>
      </w:pPr>
      <w:r w:rsidRPr="0065572E">
        <w:t>Unit of the DRX parameters</w:t>
      </w:r>
    </w:p>
    <w:p w14:paraId="47308813" w14:textId="43D9B32F" w:rsidR="006E3858" w:rsidRPr="0065572E" w:rsidRDefault="006E3858" w:rsidP="006E3858">
      <w:pPr>
        <w:rPr>
          <w:lang w:val="en-GB" w:eastAsia="x-none"/>
        </w:rPr>
      </w:pPr>
      <w:r w:rsidRPr="0065572E">
        <w:rPr>
          <w:lang w:val="en-GB" w:eastAsia="x-none"/>
        </w:rPr>
        <w:t xml:space="preserve">Based on the RAN2 agreement, in NR, </w:t>
      </w:r>
      <w:r w:rsidR="004B1262" w:rsidRPr="0065572E">
        <w:rPr>
          <w:lang w:val="en-GB" w:eastAsia="x-none"/>
        </w:rPr>
        <w:t>a</w:t>
      </w:r>
      <w:r w:rsidRPr="0065572E">
        <w:rPr>
          <w:lang w:val="en-GB" w:eastAsia="x-none"/>
        </w:rPr>
        <w:t>t least the following DRX parameters need to be configured to a UE.</w:t>
      </w:r>
    </w:p>
    <w:p w14:paraId="2BE10BC2" w14:textId="77777777" w:rsidR="006E3858" w:rsidRPr="0065572E" w:rsidRDefault="006E3858" w:rsidP="006E3858">
      <w:pPr>
        <w:pStyle w:val="ListParagraph"/>
        <w:numPr>
          <w:ilvl w:val="0"/>
          <w:numId w:val="19"/>
        </w:numPr>
        <w:rPr>
          <w:lang w:val="en-GB" w:eastAsia="x-none"/>
        </w:rPr>
      </w:pPr>
      <w:r w:rsidRPr="0065572E">
        <w:rPr>
          <w:lang w:val="en-GB" w:eastAsia="x-none"/>
        </w:rPr>
        <w:t>ON duration timer</w:t>
      </w:r>
    </w:p>
    <w:p w14:paraId="738CD68F" w14:textId="77777777" w:rsidR="006E3858" w:rsidRPr="0065572E" w:rsidRDefault="006E3858" w:rsidP="006E3858">
      <w:pPr>
        <w:pStyle w:val="ListParagraph"/>
        <w:numPr>
          <w:ilvl w:val="0"/>
          <w:numId w:val="19"/>
        </w:numPr>
        <w:rPr>
          <w:lang w:val="en-GB" w:eastAsia="x-none"/>
        </w:rPr>
      </w:pPr>
      <w:r w:rsidRPr="0065572E">
        <w:rPr>
          <w:lang w:val="en-GB" w:eastAsia="x-none"/>
        </w:rPr>
        <w:t>DRX inactivity timer</w:t>
      </w:r>
    </w:p>
    <w:p w14:paraId="7D1017EB" w14:textId="77777777" w:rsidR="006E3858" w:rsidRPr="0065572E" w:rsidRDefault="006E3858" w:rsidP="006E3858">
      <w:pPr>
        <w:pStyle w:val="ListParagraph"/>
        <w:numPr>
          <w:ilvl w:val="0"/>
          <w:numId w:val="19"/>
        </w:numPr>
        <w:rPr>
          <w:lang w:val="en-GB" w:eastAsia="x-none"/>
        </w:rPr>
      </w:pPr>
      <w:r w:rsidRPr="0065572E">
        <w:rPr>
          <w:lang w:val="en-GB" w:eastAsia="x-none"/>
        </w:rPr>
        <w:t>DRX retransmission timer</w:t>
      </w:r>
    </w:p>
    <w:p w14:paraId="6D7288D5" w14:textId="77777777" w:rsidR="006E3858" w:rsidRPr="0065572E" w:rsidRDefault="006E3858" w:rsidP="006E3858">
      <w:pPr>
        <w:pStyle w:val="ListParagraph"/>
        <w:numPr>
          <w:ilvl w:val="0"/>
          <w:numId w:val="19"/>
        </w:numPr>
        <w:rPr>
          <w:lang w:val="en-GB" w:eastAsia="x-none"/>
        </w:rPr>
      </w:pPr>
      <w:r w:rsidRPr="0065572E">
        <w:rPr>
          <w:lang w:val="en-GB" w:eastAsia="x-none"/>
        </w:rPr>
        <w:t>DRX UL retransmission timer</w:t>
      </w:r>
    </w:p>
    <w:p w14:paraId="5DF833F6" w14:textId="77777777" w:rsidR="006E3858" w:rsidRPr="0065572E" w:rsidRDefault="006E3858" w:rsidP="006E3858">
      <w:pPr>
        <w:pStyle w:val="ListParagraph"/>
        <w:numPr>
          <w:ilvl w:val="0"/>
          <w:numId w:val="19"/>
        </w:numPr>
        <w:rPr>
          <w:lang w:val="en-GB" w:eastAsia="x-none"/>
        </w:rPr>
      </w:pPr>
      <w:r w:rsidRPr="0065572E">
        <w:rPr>
          <w:lang w:val="en-GB" w:eastAsia="x-none"/>
        </w:rPr>
        <w:t>Short DRX cycle and long DRX cycle</w:t>
      </w:r>
    </w:p>
    <w:p w14:paraId="070EA7A0" w14:textId="77777777" w:rsidR="002F09BC" w:rsidRPr="0065572E" w:rsidRDefault="00C9555E" w:rsidP="007E1A98">
      <w:pPr>
        <w:rPr>
          <w:lang w:val="en-GB" w:eastAsia="x-none"/>
        </w:rPr>
      </w:pPr>
      <w:r w:rsidRPr="0065572E">
        <w:rPr>
          <w:lang w:val="en-GB" w:eastAsia="x-none"/>
        </w:rPr>
        <w:t xml:space="preserve">In NR, </w:t>
      </w:r>
      <w:r w:rsidR="007E1A98" w:rsidRPr="0065572E">
        <w:rPr>
          <w:lang w:val="en-GB" w:eastAsia="x-none"/>
        </w:rPr>
        <w:t>the unit of the short DRX cycle and long DRX cycle is in ms. I</w:t>
      </w:r>
      <w:r w:rsidRPr="0065572E">
        <w:rPr>
          <w:lang w:val="en-GB" w:eastAsia="x-none"/>
        </w:rPr>
        <w:t xml:space="preserve">t is agreed that unit of ON duration timer and DRX inactivity timer is in ms. It is also agreed that the value can be less than a ms. When a UE is configured with very large subcarrier spacing and small TTI length, 1 ms duration may be large for monitoring the PDCCH. Therefore new values of the timers can be defines as 1/16 ms, 1/8 ms, 1/4 ms and 1/2 ms. </w:t>
      </w:r>
    </w:p>
    <w:p w14:paraId="5C4490E3" w14:textId="702F9865" w:rsidR="002F09BC" w:rsidRPr="0065572E" w:rsidRDefault="002F09BC" w:rsidP="0065572E">
      <w:pPr>
        <w:pStyle w:val="Observationstyle"/>
        <w:rPr>
          <w:color w:val="auto"/>
        </w:rPr>
      </w:pPr>
      <w:bookmarkStart w:id="38" w:name="_Toc494283404"/>
      <w:bookmarkStart w:id="39" w:name="_Toc494391002"/>
      <w:bookmarkStart w:id="40" w:name="_Toc494401164"/>
      <w:bookmarkStart w:id="41" w:name="_Toc494405097"/>
      <w:r w:rsidRPr="0065572E">
        <w:rPr>
          <w:color w:val="auto"/>
        </w:rPr>
        <w:t>When a UE is configured with very large subcarrier spacing and small TTI length, 1 ms duration may be large for monitoring the PDCCH. Therefore new values of the timers can be defines as 1/16 ms, 1/8 ms, 1/4 ms and 1/2 ms.</w:t>
      </w:r>
      <w:bookmarkEnd w:id="38"/>
      <w:bookmarkEnd w:id="39"/>
      <w:bookmarkEnd w:id="40"/>
      <w:bookmarkEnd w:id="41"/>
    </w:p>
    <w:p w14:paraId="2CE0C174" w14:textId="58414D6F" w:rsidR="007E1A98" w:rsidRPr="0065572E" w:rsidRDefault="006E3858" w:rsidP="007E1A98">
      <w:pPr>
        <w:rPr>
          <w:lang w:val="en-GB"/>
        </w:rPr>
      </w:pPr>
      <w:r w:rsidRPr="0065572E">
        <w:rPr>
          <w:lang w:val="en-GB"/>
        </w:rPr>
        <w:t xml:space="preserve">Since DRX retransmission timer is specific to a HARQ process, the unit needs to be same as that of HARQ RTT timer. The HARQ RTT timer depends on the processing time of a TB and the processing time may not be in the </w:t>
      </w:r>
      <w:r w:rsidRPr="0065572E">
        <w:rPr>
          <w:lang w:val="en-GB"/>
        </w:rPr>
        <w:lastRenderedPageBreak/>
        <w:t xml:space="preserve">granularity of a subframe. It can be in the number of </w:t>
      </w:r>
      <w:r w:rsidR="00C9555E" w:rsidRPr="0065572E">
        <w:rPr>
          <w:lang w:val="en-GB"/>
        </w:rPr>
        <w:t>time slot based on the numerology</w:t>
      </w:r>
      <w:r w:rsidRPr="0065572E">
        <w:rPr>
          <w:lang w:val="en-GB"/>
        </w:rPr>
        <w:t xml:space="preserve"> of the TB</w:t>
      </w:r>
      <w:r w:rsidR="007E1A98" w:rsidRPr="0065572E">
        <w:rPr>
          <w:lang w:val="en-GB"/>
        </w:rPr>
        <w:t xml:space="preserve"> transmission</w:t>
      </w:r>
      <w:r w:rsidRPr="0065572E">
        <w:rPr>
          <w:lang w:val="en-GB"/>
        </w:rPr>
        <w:t xml:space="preserve"> that triggered the HARQ RTT timer.</w:t>
      </w:r>
      <w:r w:rsidR="00D42EE8" w:rsidRPr="0065572E">
        <w:rPr>
          <w:lang w:val="en-GB"/>
        </w:rPr>
        <w:t xml:space="preserve"> For example, for a TB with HARQ process 0, the DRX retransmission timer can be x </w:t>
      </w:r>
      <w:r w:rsidR="007E1A98" w:rsidRPr="0065572E">
        <w:rPr>
          <w:lang w:val="en-GB"/>
        </w:rPr>
        <w:t>slots</w:t>
      </w:r>
      <w:r w:rsidR="00D42EE8" w:rsidRPr="0065572E">
        <w:rPr>
          <w:lang w:val="en-GB"/>
        </w:rPr>
        <w:t xml:space="preserve"> of the TB and for another TB with HARQ process 1, the DRX retransmission timer can be y </w:t>
      </w:r>
      <w:r w:rsidR="007E1A98" w:rsidRPr="0065572E">
        <w:rPr>
          <w:lang w:val="en-GB"/>
        </w:rPr>
        <w:t>slots</w:t>
      </w:r>
      <w:r w:rsidR="00D42EE8" w:rsidRPr="0065572E">
        <w:rPr>
          <w:lang w:val="en-GB"/>
        </w:rPr>
        <w:t xml:space="preserve"> of the TB.</w:t>
      </w:r>
      <w:r w:rsidR="007E1A98" w:rsidRPr="0065572E">
        <w:rPr>
          <w:lang w:val="en-GB"/>
        </w:rPr>
        <w:t xml:space="preserve"> </w:t>
      </w:r>
      <w:bookmarkStart w:id="42" w:name="_Toc481594198"/>
      <w:bookmarkStart w:id="43" w:name="_Toc481772430"/>
      <w:bookmarkStart w:id="44" w:name="_Toc481772606"/>
      <w:bookmarkStart w:id="45" w:name="_Toc481772838"/>
      <w:bookmarkStart w:id="46" w:name="_Toc481784187"/>
      <w:bookmarkStart w:id="47" w:name="_Toc484621494"/>
      <w:bookmarkStart w:id="48" w:name="_Toc485214382"/>
      <w:bookmarkStart w:id="49" w:name="_Toc485216232"/>
      <w:bookmarkStart w:id="50" w:name="_Toc485406514"/>
      <w:bookmarkStart w:id="51" w:name="_Toc485406922"/>
      <w:bookmarkStart w:id="52" w:name="_Toc485410974"/>
      <w:bookmarkStart w:id="53" w:name="_Toc485411001"/>
      <w:bookmarkStart w:id="54" w:name="_Toc489542156"/>
      <w:bookmarkStart w:id="55" w:name="_Toc489625548"/>
      <w:bookmarkStart w:id="56" w:name="_Toc489634547"/>
      <w:bookmarkStart w:id="57" w:name="_Toc490126822"/>
      <w:bookmarkStart w:id="58" w:name="_Toc490248070"/>
      <w:bookmarkStart w:id="59" w:name="_Toc490248078"/>
      <w:bookmarkStart w:id="60" w:name="_Toc490250669"/>
    </w:p>
    <w:p w14:paraId="17C85631" w14:textId="281E6B3A" w:rsidR="007E1A98" w:rsidRPr="0065572E" w:rsidRDefault="007E1A98" w:rsidP="007E1A98">
      <w:pPr>
        <w:pStyle w:val="Recommend-1"/>
        <w:rPr>
          <w:lang w:val="en-GB"/>
        </w:rPr>
      </w:pPr>
      <w:bookmarkStart w:id="61" w:name="_Toc494155077"/>
      <w:bookmarkStart w:id="62" w:name="_Toc494155610"/>
      <w:bookmarkStart w:id="63" w:name="_Toc494155895"/>
      <w:bookmarkStart w:id="64" w:name="_Toc494283408"/>
      <w:bookmarkStart w:id="65" w:name="_Toc494391005"/>
      <w:bookmarkStart w:id="66" w:name="_Toc494401168"/>
      <w:bookmarkStart w:id="67" w:name="_Toc494401228"/>
      <w:bookmarkStart w:id="68" w:name="_Toc494405100"/>
      <w:r w:rsidRPr="0065572E">
        <w:rPr>
          <w:lang w:val="en-GB"/>
        </w:rPr>
        <w:t xml:space="preserve">The unit of the DRX retransmission timer </w:t>
      </w:r>
      <w:r w:rsidR="002F09BC" w:rsidRPr="0065572E">
        <w:rPr>
          <w:lang w:val="en-GB"/>
        </w:rPr>
        <w:t xml:space="preserve">is same as that of </w:t>
      </w:r>
      <w:r w:rsidRPr="0065572E">
        <w:rPr>
          <w:lang w:val="en-GB"/>
        </w:rPr>
        <w:t>HARQ RTT timer.</w:t>
      </w:r>
      <w:bookmarkEnd w:id="61"/>
      <w:bookmarkEnd w:id="62"/>
      <w:bookmarkEnd w:id="63"/>
      <w:bookmarkEnd w:id="64"/>
      <w:bookmarkEnd w:id="65"/>
      <w:bookmarkEnd w:id="66"/>
      <w:bookmarkEnd w:id="67"/>
      <w:bookmarkEnd w:id="68"/>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2CD8359B" w14:textId="0EDC30C1" w:rsidR="00074D61" w:rsidRPr="0065572E" w:rsidRDefault="00074D61" w:rsidP="00A035CA">
      <w:pPr>
        <w:pStyle w:val="Heading2"/>
      </w:pPr>
      <w:r w:rsidRPr="0065572E">
        <w:t>C-DRX with BWP</w:t>
      </w:r>
      <w:r w:rsidR="00712E9D" w:rsidRPr="0065572E">
        <w:t xml:space="preserve"> operation</w:t>
      </w:r>
    </w:p>
    <w:p w14:paraId="169F22AA" w14:textId="77777777" w:rsidR="00885E01" w:rsidRPr="0065572E" w:rsidRDefault="007E1A98" w:rsidP="001A11D4">
      <w:pPr>
        <w:rPr>
          <w:lang w:val="en-GB" w:eastAsia="x-none"/>
        </w:rPr>
      </w:pPr>
      <w:r w:rsidRPr="0065572E">
        <w:rPr>
          <w:lang w:val="en-GB" w:eastAsia="x-none"/>
        </w:rPr>
        <w:t xml:space="preserve">In </w:t>
      </w:r>
      <w:r w:rsidR="00074D61" w:rsidRPr="0065572E">
        <w:rPr>
          <w:lang w:val="en-GB" w:eastAsia="x-none"/>
        </w:rPr>
        <w:t>RAN1</w:t>
      </w:r>
      <w:r w:rsidRPr="0065572E">
        <w:rPr>
          <w:lang w:val="en-GB" w:eastAsia="x-none"/>
        </w:rPr>
        <w:t xml:space="preserve"> NR</w:t>
      </w:r>
      <w:r w:rsidR="00074D61" w:rsidRPr="0065572E">
        <w:rPr>
          <w:lang w:val="en-GB" w:eastAsia="x-none"/>
        </w:rPr>
        <w:t xml:space="preserve"> AHoc</w:t>
      </w:r>
      <w:r w:rsidR="001A11D4" w:rsidRPr="0065572E">
        <w:rPr>
          <w:lang w:val="en-GB" w:eastAsia="x-none"/>
        </w:rPr>
        <w:t xml:space="preserve"> #3 meeting [4</w:t>
      </w:r>
      <w:r w:rsidRPr="0065572E">
        <w:rPr>
          <w:lang w:val="en-GB" w:eastAsia="x-none"/>
        </w:rPr>
        <w:t>], it is agreed that a UE</w:t>
      </w:r>
      <w:r w:rsidR="00074D61" w:rsidRPr="0065572E">
        <w:rPr>
          <w:lang w:val="en-GB" w:eastAsia="x-none"/>
        </w:rPr>
        <w:t xml:space="preserve"> is configured with multiple </w:t>
      </w:r>
      <w:r w:rsidR="00B845E1" w:rsidRPr="0065572E">
        <w:rPr>
          <w:lang w:val="en-GB" w:eastAsia="x-none"/>
        </w:rPr>
        <w:t xml:space="preserve">DL </w:t>
      </w:r>
      <w:r w:rsidR="00074D61" w:rsidRPr="0065572E">
        <w:rPr>
          <w:lang w:val="en-GB" w:eastAsia="x-none"/>
        </w:rPr>
        <w:t xml:space="preserve">BWPs but only one </w:t>
      </w:r>
      <w:r w:rsidR="00B845E1" w:rsidRPr="0065572E">
        <w:rPr>
          <w:lang w:val="en-GB" w:eastAsia="x-none"/>
        </w:rPr>
        <w:t xml:space="preserve">DL </w:t>
      </w:r>
      <w:r w:rsidR="00074D61" w:rsidRPr="0065572E">
        <w:rPr>
          <w:lang w:val="en-GB" w:eastAsia="x-none"/>
        </w:rPr>
        <w:t>BWP is active at a</w:t>
      </w:r>
      <w:r w:rsidRPr="0065572E">
        <w:rPr>
          <w:lang w:val="en-GB" w:eastAsia="x-none"/>
        </w:rPr>
        <w:t xml:space="preserve"> time. </w:t>
      </w:r>
      <w:r w:rsidR="001A11D4" w:rsidRPr="0065572E">
        <w:rPr>
          <w:lang w:val="en-GB" w:eastAsia="x-none"/>
        </w:rPr>
        <w:t xml:space="preserve">In RAN1 # 90 meeting [5], </w:t>
      </w:r>
      <w:r w:rsidR="00885E01" w:rsidRPr="0065572E">
        <w:rPr>
          <w:lang w:val="en-GB" w:eastAsia="x-none"/>
        </w:rPr>
        <w:t xml:space="preserve">it was agreed that a timer based solution can be used to switch the active DL BWP to default BWP. </w:t>
      </w:r>
    </w:p>
    <w:p w14:paraId="71D4097A" w14:textId="33D726E1" w:rsidR="00712E9D" w:rsidRPr="0065572E" w:rsidRDefault="00885E01" w:rsidP="00074D61">
      <w:pPr>
        <w:rPr>
          <w:lang w:val="en-GB" w:eastAsia="x-none"/>
        </w:rPr>
      </w:pPr>
      <w:r w:rsidRPr="0065572E">
        <w:rPr>
          <w:lang w:val="en-GB" w:eastAsia="x-none"/>
        </w:rPr>
        <w:t xml:space="preserve">If a UE is monitoring an active DL BWP for a long time without activity, the UE moves to default BWP for power saving. </w:t>
      </w:r>
      <w:r w:rsidR="001A11D4" w:rsidRPr="0065572E">
        <w:rPr>
          <w:lang w:val="en-GB" w:eastAsia="x-none"/>
        </w:rPr>
        <w:t xml:space="preserve">We would like to discuss from RAN2 point of view whether we can reuse DRX timer or introduce a new timer (denoted by BWP inactivity timer). </w:t>
      </w:r>
      <w:r w:rsidR="00712E9D" w:rsidRPr="0065572E">
        <w:rPr>
          <w:lang w:val="en-GB" w:eastAsia="x-none"/>
        </w:rPr>
        <w:t xml:space="preserve">We think a new timer to switching to default BWP is more desirable than </w:t>
      </w:r>
      <w:r w:rsidRPr="0065572E">
        <w:rPr>
          <w:lang w:val="en-GB" w:eastAsia="x-none"/>
        </w:rPr>
        <w:t>reusing</w:t>
      </w:r>
      <w:r w:rsidR="00712E9D" w:rsidRPr="0065572E">
        <w:rPr>
          <w:lang w:val="en-GB" w:eastAsia="x-none"/>
        </w:rPr>
        <w:t xml:space="preserve"> DRX timer. </w:t>
      </w:r>
    </w:p>
    <w:p w14:paraId="00164DBF" w14:textId="5817D19E" w:rsidR="00074D61" w:rsidRPr="0065572E" w:rsidRDefault="00712E9D" w:rsidP="00074D61">
      <w:pPr>
        <w:rPr>
          <w:lang w:val="en-GB" w:eastAsia="x-none"/>
        </w:rPr>
      </w:pPr>
      <w:r w:rsidRPr="0065572E">
        <w:rPr>
          <w:lang w:val="en-GB" w:eastAsia="x-none"/>
        </w:rPr>
        <w:t>One reason</w:t>
      </w:r>
      <w:r w:rsidR="007E1A98" w:rsidRPr="0065572E">
        <w:rPr>
          <w:lang w:val="en-GB" w:eastAsia="x-none"/>
        </w:rPr>
        <w:t xml:space="preserve"> </w:t>
      </w:r>
      <w:r w:rsidRPr="0065572E">
        <w:rPr>
          <w:lang w:val="en-GB" w:eastAsia="x-none"/>
        </w:rPr>
        <w:t xml:space="preserve">is BWP operation can be separately enabled. </w:t>
      </w:r>
      <w:r w:rsidR="00074D61" w:rsidRPr="0065572E">
        <w:rPr>
          <w:lang w:val="en-GB" w:eastAsia="x-none"/>
        </w:rPr>
        <w:t xml:space="preserve">If no C-DRX is configured, a </w:t>
      </w:r>
      <w:r w:rsidRPr="0065572E">
        <w:rPr>
          <w:lang w:val="en-GB" w:eastAsia="x-none"/>
        </w:rPr>
        <w:t xml:space="preserve">timer for </w:t>
      </w:r>
      <w:r w:rsidR="00B845E1" w:rsidRPr="0065572E">
        <w:rPr>
          <w:lang w:val="en-GB" w:eastAsia="x-none"/>
        </w:rPr>
        <w:t xml:space="preserve">DL </w:t>
      </w:r>
      <w:r w:rsidR="007E1A98" w:rsidRPr="0065572E">
        <w:rPr>
          <w:lang w:val="en-GB" w:eastAsia="x-none"/>
        </w:rPr>
        <w:t xml:space="preserve">BWP </w:t>
      </w:r>
      <w:r w:rsidR="00C71A76" w:rsidRPr="0065572E">
        <w:rPr>
          <w:lang w:val="en-GB" w:eastAsia="x-none"/>
        </w:rPr>
        <w:t>should be configured for BW operation</w:t>
      </w:r>
      <w:r w:rsidR="00960E91" w:rsidRPr="0065572E">
        <w:rPr>
          <w:lang w:val="en-GB" w:eastAsia="x-none"/>
        </w:rPr>
        <w:t>. When this timer expires</w:t>
      </w:r>
      <w:r w:rsidR="00885E01" w:rsidRPr="0065572E">
        <w:rPr>
          <w:lang w:val="en-GB" w:eastAsia="x-none"/>
        </w:rPr>
        <w:t xml:space="preserve">, </w:t>
      </w:r>
      <w:r w:rsidR="007E1A98" w:rsidRPr="0065572E">
        <w:rPr>
          <w:lang w:val="en-GB" w:eastAsia="x-none"/>
        </w:rPr>
        <w:t xml:space="preserve">UE </w:t>
      </w:r>
      <w:r w:rsidR="00074D61" w:rsidRPr="0065572E">
        <w:rPr>
          <w:lang w:val="en-GB" w:eastAsia="x-none"/>
        </w:rPr>
        <w:t>switches</w:t>
      </w:r>
      <w:r w:rsidR="00960E91" w:rsidRPr="0065572E">
        <w:rPr>
          <w:lang w:val="en-GB" w:eastAsia="x-none"/>
        </w:rPr>
        <w:t xml:space="preserve"> to</w:t>
      </w:r>
      <w:r w:rsidR="00074D61" w:rsidRPr="0065572E">
        <w:rPr>
          <w:lang w:val="en-GB" w:eastAsia="x-none"/>
        </w:rPr>
        <w:t xml:space="preserve"> the </w:t>
      </w:r>
      <w:r w:rsidR="00960E91" w:rsidRPr="0065572E">
        <w:rPr>
          <w:lang w:val="en-GB" w:eastAsia="x-none"/>
        </w:rPr>
        <w:t xml:space="preserve">default </w:t>
      </w:r>
      <w:r w:rsidR="00B845E1" w:rsidRPr="0065572E">
        <w:rPr>
          <w:lang w:val="en-GB" w:eastAsia="x-none"/>
        </w:rPr>
        <w:t xml:space="preserve">DL </w:t>
      </w:r>
      <w:r w:rsidR="00074D61" w:rsidRPr="0065572E">
        <w:rPr>
          <w:lang w:val="en-GB" w:eastAsia="x-none"/>
        </w:rPr>
        <w:t>BWP autonomously.</w:t>
      </w:r>
    </w:p>
    <w:p w14:paraId="7BE991B9" w14:textId="77777777" w:rsidR="00885E01" w:rsidRPr="0065572E" w:rsidRDefault="00885E01" w:rsidP="00885E01">
      <w:pPr>
        <w:pStyle w:val="Recommend-1"/>
        <w:rPr>
          <w:lang w:val="en-GB"/>
        </w:rPr>
      </w:pPr>
      <w:bookmarkStart w:id="69" w:name="_Toc494391007"/>
      <w:bookmarkStart w:id="70" w:name="_Toc494401169"/>
      <w:bookmarkStart w:id="71" w:name="_Toc494401229"/>
      <w:bookmarkStart w:id="72" w:name="_Toc494405101"/>
      <w:r w:rsidRPr="0065572E">
        <w:rPr>
          <w:lang w:val="en-GB"/>
        </w:rPr>
        <w:t>A new timer (BWP inactivity timer) is introduced to switch active BWP to default BWP after a certain inactive time.</w:t>
      </w:r>
      <w:bookmarkEnd w:id="69"/>
      <w:bookmarkEnd w:id="70"/>
      <w:bookmarkEnd w:id="71"/>
      <w:bookmarkEnd w:id="72"/>
      <w:r w:rsidRPr="0065572E">
        <w:rPr>
          <w:lang w:val="en-GB"/>
        </w:rPr>
        <w:t xml:space="preserve"> </w:t>
      </w:r>
    </w:p>
    <w:p w14:paraId="40FEED0F" w14:textId="75E2C639" w:rsidR="007E1A98" w:rsidRPr="0065572E" w:rsidRDefault="00885E01" w:rsidP="007E1A98">
      <w:pPr>
        <w:rPr>
          <w:lang w:val="en-GB" w:eastAsia="x-none"/>
        </w:rPr>
      </w:pPr>
      <w:r w:rsidRPr="0065572E">
        <w:rPr>
          <w:lang w:val="en-GB" w:eastAsia="x-none"/>
        </w:rPr>
        <w:t xml:space="preserve">When DRX is configured, </w:t>
      </w:r>
      <w:r w:rsidR="007E1A98" w:rsidRPr="0065572E">
        <w:rPr>
          <w:lang w:val="en-GB" w:eastAsia="x-none"/>
        </w:rPr>
        <w:t>the</w:t>
      </w:r>
      <w:r w:rsidR="00B845E1" w:rsidRPr="0065572E">
        <w:rPr>
          <w:lang w:val="en-GB" w:eastAsia="x-none"/>
        </w:rPr>
        <w:t xml:space="preserve"> DL</w:t>
      </w:r>
      <w:r w:rsidR="007E1A98" w:rsidRPr="0065572E">
        <w:rPr>
          <w:lang w:val="en-GB" w:eastAsia="x-none"/>
        </w:rPr>
        <w:t xml:space="preserve"> BWP inactivity timer can work together with DRX timers. When the </w:t>
      </w:r>
      <w:r w:rsidR="00B845E1" w:rsidRPr="0065572E">
        <w:rPr>
          <w:lang w:val="en-GB" w:eastAsia="x-none"/>
        </w:rPr>
        <w:t xml:space="preserve">DL </w:t>
      </w:r>
      <w:r w:rsidR="007E1A98" w:rsidRPr="0065572E">
        <w:rPr>
          <w:lang w:val="en-GB" w:eastAsia="x-none"/>
        </w:rPr>
        <w:t xml:space="preserve">BWP inactivity timer expires, UE may not switch to default </w:t>
      </w:r>
      <w:r w:rsidR="00B845E1" w:rsidRPr="0065572E">
        <w:rPr>
          <w:lang w:val="en-GB" w:eastAsia="x-none"/>
        </w:rPr>
        <w:t xml:space="preserve">DL </w:t>
      </w:r>
      <w:r w:rsidR="007E1A98" w:rsidRPr="0065572E">
        <w:rPr>
          <w:lang w:val="en-GB" w:eastAsia="x-none"/>
        </w:rPr>
        <w:t xml:space="preserve">BWP due to the DRX retransmission timers as UE still continues monitoring the PDCCH. If the </w:t>
      </w:r>
      <w:r w:rsidR="00B845E1" w:rsidRPr="0065572E">
        <w:rPr>
          <w:lang w:val="en-GB" w:eastAsia="x-none"/>
        </w:rPr>
        <w:t xml:space="preserve">DL </w:t>
      </w:r>
      <w:r w:rsidR="007E1A98" w:rsidRPr="0065572E">
        <w:rPr>
          <w:lang w:val="en-GB" w:eastAsia="x-none"/>
        </w:rPr>
        <w:t xml:space="preserve">BWP inactivity timer expired and </w:t>
      </w:r>
    </w:p>
    <w:p w14:paraId="0ED927CD" w14:textId="7804581C" w:rsidR="007E1A98" w:rsidRPr="0065572E" w:rsidRDefault="007E1A98" w:rsidP="007E1A98">
      <w:pPr>
        <w:pStyle w:val="ListParagraph"/>
        <w:numPr>
          <w:ilvl w:val="0"/>
          <w:numId w:val="33"/>
        </w:numPr>
        <w:spacing w:after="0"/>
        <w:rPr>
          <w:lang w:val="en-GB" w:eastAsia="x-none"/>
        </w:rPr>
      </w:pPr>
      <w:r w:rsidRPr="0065572E">
        <w:rPr>
          <w:lang w:val="en-GB" w:eastAsia="x-none"/>
        </w:rPr>
        <w:t xml:space="preserve">Any HARQ RTT timer or (UL)DRXretransmissionTimer is running, UE does not switch to default </w:t>
      </w:r>
      <w:r w:rsidR="00B845E1" w:rsidRPr="0065572E">
        <w:rPr>
          <w:lang w:val="en-GB" w:eastAsia="x-none"/>
        </w:rPr>
        <w:t xml:space="preserve">DL </w:t>
      </w:r>
      <w:r w:rsidRPr="0065572E">
        <w:rPr>
          <w:lang w:val="en-GB" w:eastAsia="x-none"/>
        </w:rPr>
        <w:t>BWP autonomously.</w:t>
      </w:r>
    </w:p>
    <w:p w14:paraId="3BD8A4A9" w14:textId="1261A214" w:rsidR="007E1A98" w:rsidRPr="0065572E" w:rsidRDefault="007E1A98" w:rsidP="007E1A98">
      <w:pPr>
        <w:pStyle w:val="ListParagraph"/>
        <w:numPr>
          <w:ilvl w:val="0"/>
          <w:numId w:val="33"/>
        </w:numPr>
        <w:spacing w:after="0"/>
        <w:rPr>
          <w:lang w:val="en-GB" w:eastAsia="x-none"/>
        </w:rPr>
      </w:pPr>
      <w:r w:rsidRPr="0065572E">
        <w:rPr>
          <w:lang w:val="en-GB" w:eastAsia="x-none"/>
        </w:rPr>
        <w:t xml:space="preserve">If NO HARQ RTT timer or (UL)DRXretransmissionTimer is running, UE switches to default </w:t>
      </w:r>
      <w:r w:rsidR="00B845E1" w:rsidRPr="0065572E">
        <w:rPr>
          <w:lang w:val="en-GB" w:eastAsia="x-none"/>
        </w:rPr>
        <w:t xml:space="preserve">DL </w:t>
      </w:r>
      <w:r w:rsidRPr="0065572E">
        <w:rPr>
          <w:lang w:val="en-GB" w:eastAsia="x-none"/>
        </w:rPr>
        <w:t>BWP.</w:t>
      </w:r>
    </w:p>
    <w:p w14:paraId="4931795B" w14:textId="77777777" w:rsidR="007E1A98" w:rsidRPr="0065572E" w:rsidRDefault="007E1A98" w:rsidP="007E1A98">
      <w:pPr>
        <w:rPr>
          <w:lang w:val="en-GB" w:eastAsia="x-none"/>
        </w:rPr>
      </w:pPr>
    </w:p>
    <w:p w14:paraId="1E820B1A" w14:textId="24D18C71" w:rsidR="00074D61" w:rsidRPr="0065572E" w:rsidRDefault="007E1A98" w:rsidP="007E1A98">
      <w:pPr>
        <w:rPr>
          <w:lang w:val="en-GB" w:eastAsia="x-none"/>
        </w:rPr>
      </w:pPr>
      <w:r w:rsidRPr="0065572E">
        <w:rPr>
          <w:lang w:val="en-GB" w:eastAsia="x-none"/>
        </w:rPr>
        <w:t xml:space="preserve">If the </w:t>
      </w:r>
      <w:r w:rsidR="00B845E1" w:rsidRPr="0065572E">
        <w:rPr>
          <w:lang w:val="en-GB" w:eastAsia="x-none"/>
        </w:rPr>
        <w:t xml:space="preserve">DL </w:t>
      </w:r>
      <w:r w:rsidRPr="0065572E">
        <w:rPr>
          <w:lang w:val="en-GB" w:eastAsia="x-none"/>
        </w:rPr>
        <w:t xml:space="preserve">BWP inactivity timer is still running after UE enters into DRX sleep and no DRX timer is running, the UE switches to default </w:t>
      </w:r>
      <w:r w:rsidR="00B845E1" w:rsidRPr="0065572E">
        <w:rPr>
          <w:lang w:val="en-GB" w:eastAsia="x-none"/>
        </w:rPr>
        <w:t xml:space="preserve">DL </w:t>
      </w:r>
      <w:r w:rsidRPr="0065572E">
        <w:rPr>
          <w:lang w:val="en-GB" w:eastAsia="x-none"/>
        </w:rPr>
        <w:t>BWP to monitor PDCCH in the next ON duration</w:t>
      </w:r>
      <w:r w:rsidR="00960E91" w:rsidRPr="0065572E">
        <w:rPr>
          <w:lang w:val="en-GB" w:eastAsia="x-none"/>
        </w:rPr>
        <w:t>. In this case, UE sta</w:t>
      </w:r>
      <w:r w:rsidR="00CF58F2" w:rsidRPr="0065572E">
        <w:rPr>
          <w:lang w:val="en-GB" w:eastAsia="x-none"/>
        </w:rPr>
        <w:t>y</w:t>
      </w:r>
      <w:r w:rsidR="00960E91" w:rsidRPr="0065572E">
        <w:rPr>
          <w:lang w:val="en-GB" w:eastAsia="x-none"/>
        </w:rPr>
        <w:t>s in default DL BWP and gNB needs to signal (e.g., use DCI) to switch to other DL BWP.</w:t>
      </w:r>
    </w:p>
    <w:p w14:paraId="4F0B0C46" w14:textId="7FF5C71D" w:rsidR="00885E01" w:rsidRPr="0065572E" w:rsidRDefault="00885E01" w:rsidP="00885E01">
      <w:pPr>
        <w:pStyle w:val="Recommend-1"/>
      </w:pPr>
      <w:bookmarkStart w:id="73" w:name="_Toc494391008"/>
      <w:bookmarkStart w:id="74" w:name="_Toc494401170"/>
      <w:bookmarkStart w:id="75" w:name="_Toc494401230"/>
      <w:bookmarkStart w:id="76" w:name="_Toc494405102"/>
      <w:r w:rsidRPr="0065572E">
        <w:t xml:space="preserve">Autonomous switching to DL default BWP should consider both DL BWP inactivity timer and </w:t>
      </w:r>
      <w:r w:rsidRPr="0065572E">
        <w:rPr>
          <w:lang w:val="en-GB"/>
        </w:rPr>
        <w:t>DRX timers (HARQ RTT and DRX retransmission timers)</w:t>
      </w:r>
      <w:r w:rsidRPr="0065572E">
        <w:t>.</w:t>
      </w:r>
      <w:bookmarkEnd w:id="73"/>
      <w:bookmarkEnd w:id="74"/>
      <w:bookmarkEnd w:id="75"/>
      <w:bookmarkEnd w:id="76"/>
    </w:p>
    <w:p w14:paraId="328CA298" w14:textId="6E747473" w:rsidR="00885E01" w:rsidRPr="0065572E" w:rsidRDefault="00885E01" w:rsidP="00885E01">
      <w:pPr>
        <w:rPr>
          <w:lang w:val="en-GB" w:eastAsia="x-none"/>
        </w:rPr>
      </w:pPr>
      <w:r w:rsidRPr="0065572E">
        <w:rPr>
          <w:lang w:val="en-GB" w:eastAsia="x-none"/>
        </w:rPr>
        <w:t xml:space="preserve">In NR, it is agreed that DRX configuration for a UE is LTE baseline in which the DRX configuration is per MAC entity. Therefore the BWP inactivity timer </w:t>
      </w:r>
      <w:r w:rsidR="000B5BE5" w:rsidRPr="0065572E">
        <w:rPr>
          <w:lang w:val="en-GB" w:eastAsia="x-none"/>
        </w:rPr>
        <w:t>can also be</w:t>
      </w:r>
      <w:r w:rsidRPr="0065572E">
        <w:rPr>
          <w:lang w:val="en-GB" w:eastAsia="x-none"/>
        </w:rPr>
        <w:t xml:space="preserve"> configured per MAC entity.</w:t>
      </w:r>
    </w:p>
    <w:p w14:paraId="5CC94CA9" w14:textId="06AE3F69" w:rsidR="009111AC" w:rsidRPr="0065572E" w:rsidRDefault="009111AC" w:rsidP="001A11D4">
      <w:pPr>
        <w:pStyle w:val="Recommend-1"/>
        <w:rPr>
          <w:lang w:val="en-GB"/>
        </w:rPr>
      </w:pPr>
      <w:bookmarkStart w:id="77" w:name="_Toc494391009"/>
      <w:bookmarkStart w:id="78" w:name="_Toc494401171"/>
      <w:bookmarkStart w:id="79" w:name="_Toc494401231"/>
      <w:bookmarkStart w:id="80" w:name="_Toc494391010"/>
      <w:bookmarkStart w:id="81" w:name="_Toc494401172"/>
      <w:bookmarkStart w:id="82" w:name="_Toc494401232"/>
      <w:bookmarkStart w:id="83" w:name="_Toc494155612"/>
      <w:bookmarkStart w:id="84" w:name="_Toc494155897"/>
      <w:bookmarkStart w:id="85" w:name="_Toc494283410"/>
      <w:bookmarkStart w:id="86" w:name="_Toc494405103"/>
      <w:bookmarkEnd w:id="77"/>
      <w:bookmarkEnd w:id="78"/>
      <w:bookmarkEnd w:id="79"/>
      <w:r w:rsidRPr="0065572E">
        <w:rPr>
          <w:lang w:val="en-GB"/>
        </w:rPr>
        <w:t>DL BWP inactivity timer is</w:t>
      </w:r>
      <w:r w:rsidR="00D56824" w:rsidRPr="0065572E">
        <w:rPr>
          <w:lang w:val="en-GB"/>
        </w:rPr>
        <w:t xml:space="preserve"> configured per MAC entity</w:t>
      </w:r>
      <w:r w:rsidRPr="0065572E">
        <w:rPr>
          <w:lang w:val="en-GB"/>
        </w:rPr>
        <w:t>.</w:t>
      </w:r>
      <w:bookmarkEnd w:id="80"/>
      <w:bookmarkEnd w:id="81"/>
      <w:bookmarkEnd w:id="82"/>
      <w:bookmarkEnd w:id="86"/>
    </w:p>
    <w:p w14:paraId="2BE9DFA6" w14:textId="77777777" w:rsidR="00EC3224" w:rsidRPr="0065572E" w:rsidRDefault="00EC3224" w:rsidP="00EA3FD8">
      <w:pPr>
        <w:pStyle w:val="Heading1"/>
      </w:pPr>
      <w:bookmarkStart w:id="87" w:name="_Toc465868502"/>
      <w:bookmarkStart w:id="88" w:name="_Toc466027731"/>
      <w:bookmarkStart w:id="89" w:name="_Toc466028398"/>
      <w:bookmarkStart w:id="90" w:name="_Toc465868504"/>
      <w:bookmarkStart w:id="91" w:name="_Toc466027733"/>
      <w:bookmarkStart w:id="92" w:name="_Toc4660284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83"/>
      <w:bookmarkEnd w:id="84"/>
      <w:bookmarkEnd w:id="85"/>
      <w:bookmarkEnd w:id="87"/>
      <w:bookmarkEnd w:id="88"/>
      <w:bookmarkEnd w:id="89"/>
      <w:bookmarkEnd w:id="90"/>
      <w:bookmarkEnd w:id="91"/>
      <w:bookmarkEnd w:id="92"/>
      <w:r w:rsidRPr="0065572E">
        <w:t xml:space="preserve">Conclusion </w:t>
      </w:r>
    </w:p>
    <w:p w14:paraId="4635B31A" w14:textId="77777777" w:rsidR="00EC3224" w:rsidRPr="0065572E" w:rsidRDefault="00EC3224" w:rsidP="00EC3224">
      <w:pPr>
        <w:rPr>
          <w:lang w:val="en-GB" w:eastAsia="x-none"/>
        </w:rPr>
      </w:pPr>
      <w:r w:rsidRPr="0065572E">
        <w:rPr>
          <w:lang w:val="en-GB" w:eastAsia="x-none"/>
        </w:rPr>
        <w:t>Based on the above discussion, we have following observations:</w:t>
      </w:r>
    </w:p>
    <w:p w14:paraId="3E6053B6" w14:textId="77777777" w:rsidR="0065572E" w:rsidRDefault="00EC3224">
      <w:pPr>
        <w:pStyle w:val="TOC1"/>
        <w:rPr>
          <w:rFonts w:asciiTheme="minorHAnsi" w:eastAsiaTheme="minorEastAsia" w:hAnsiTheme="minorHAnsi" w:cstheme="minorBidi"/>
          <w:b w:val="0"/>
          <w:sz w:val="22"/>
          <w:szCs w:val="22"/>
          <w:lang w:val="en-US"/>
        </w:rPr>
      </w:pPr>
      <w:r w:rsidRPr="0065572E">
        <w:fldChar w:fldCharType="begin"/>
      </w:r>
      <w:r w:rsidRPr="0065572E">
        <w:instrText xml:space="preserve"> TOC \n \t "Observation,1,Observation style,1" </w:instrText>
      </w:r>
      <w:r w:rsidRPr="0065572E">
        <w:fldChar w:fldCharType="separate"/>
      </w:r>
      <w:r w:rsidR="0065572E" w:rsidRPr="00BC3F7A">
        <w:t>Observation 1 The value of HARQ RTT may not be fully indicated in the DCI.</w:t>
      </w:r>
    </w:p>
    <w:p w14:paraId="107852DF" w14:textId="77777777" w:rsidR="0065572E" w:rsidRDefault="0065572E">
      <w:pPr>
        <w:pStyle w:val="TOC1"/>
        <w:rPr>
          <w:rFonts w:asciiTheme="minorHAnsi" w:eastAsiaTheme="minorEastAsia" w:hAnsiTheme="minorHAnsi" w:cstheme="minorBidi"/>
          <w:b w:val="0"/>
          <w:sz w:val="22"/>
          <w:szCs w:val="22"/>
          <w:lang w:val="en-US"/>
        </w:rPr>
      </w:pPr>
      <w:r w:rsidRPr="00BC3F7A">
        <w:t>Observation 2 When a UE is configured with very large subcarrier spacing and small TTI length, 1 ms duration may be large for monitoring the PDCCH. Therefore new values of the timers can be defines as 1/16 ms, 1/8 ms, 1/4 ms and 1/2 ms.</w:t>
      </w:r>
    </w:p>
    <w:p w14:paraId="69AAA7C8" w14:textId="0A04A6BC" w:rsidR="00EC3224" w:rsidRPr="0065572E" w:rsidRDefault="00EC3224" w:rsidP="00EC3224">
      <w:pPr>
        <w:spacing w:line="276" w:lineRule="auto"/>
        <w:rPr>
          <w:noProof/>
          <w:lang w:val="en-GB"/>
        </w:rPr>
      </w:pPr>
      <w:r w:rsidRPr="0065572E">
        <w:rPr>
          <w:b/>
          <w:noProof/>
          <w:lang w:val="en-GB"/>
        </w:rPr>
        <w:fldChar w:fldCharType="end"/>
      </w:r>
      <w:r w:rsidR="00FA6715" w:rsidRPr="0065572E">
        <w:rPr>
          <w:noProof/>
          <w:lang w:val="en-GB"/>
        </w:rPr>
        <w:t>Based on the</w:t>
      </w:r>
      <w:r w:rsidRPr="0065572E">
        <w:rPr>
          <w:noProof/>
          <w:lang w:val="en-GB"/>
        </w:rPr>
        <w:t xml:space="preserve"> observations and discussion, we propose:</w:t>
      </w:r>
    </w:p>
    <w:p w14:paraId="66AF3C4D" w14:textId="77777777" w:rsidR="0065572E" w:rsidRDefault="00EC3224">
      <w:pPr>
        <w:pStyle w:val="TOC1"/>
        <w:rPr>
          <w:rFonts w:asciiTheme="minorHAnsi" w:eastAsiaTheme="minorEastAsia" w:hAnsiTheme="minorHAnsi" w:cstheme="minorBidi"/>
          <w:b w:val="0"/>
          <w:sz w:val="22"/>
          <w:szCs w:val="22"/>
          <w:lang w:val="en-US"/>
        </w:rPr>
      </w:pPr>
      <w:r w:rsidRPr="0065572E">
        <w:fldChar w:fldCharType="begin"/>
      </w:r>
      <w:r w:rsidRPr="0065572E">
        <w:instrText xml:space="preserve"> TOC \n \t "Recommend-1,1" </w:instrText>
      </w:r>
      <w:r w:rsidRPr="0065572E">
        <w:fldChar w:fldCharType="separate"/>
      </w:r>
      <w:r w:rsidR="0065572E" w:rsidRPr="004A6617">
        <w:t>Proposal 1.</w:t>
      </w:r>
      <w:r w:rsidR="0065572E">
        <w:rPr>
          <w:rFonts w:asciiTheme="minorHAnsi" w:eastAsiaTheme="minorEastAsia" w:hAnsiTheme="minorHAnsi" w:cstheme="minorBidi"/>
          <w:b w:val="0"/>
          <w:sz w:val="22"/>
          <w:szCs w:val="22"/>
          <w:lang w:val="en-US"/>
        </w:rPr>
        <w:tab/>
      </w:r>
      <w:r w:rsidR="0065572E" w:rsidRPr="004A6617">
        <w:t>RAN1 input on the unit of value K is required to determine the unit of HARQ RTT timer.</w:t>
      </w:r>
    </w:p>
    <w:p w14:paraId="6BA93534" w14:textId="77777777" w:rsidR="0065572E" w:rsidRDefault="0065572E">
      <w:pPr>
        <w:pStyle w:val="TOC1"/>
        <w:rPr>
          <w:rFonts w:asciiTheme="minorHAnsi" w:eastAsiaTheme="minorEastAsia" w:hAnsiTheme="minorHAnsi" w:cstheme="minorBidi"/>
          <w:b w:val="0"/>
          <w:sz w:val="22"/>
          <w:szCs w:val="22"/>
          <w:lang w:val="en-US"/>
        </w:rPr>
      </w:pPr>
      <w:r w:rsidRPr="004A6617">
        <w:t>Proposal 2.</w:t>
      </w:r>
      <w:r>
        <w:rPr>
          <w:rFonts w:asciiTheme="minorHAnsi" w:eastAsiaTheme="minorEastAsia" w:hAnsiTheme="minorHAnsi" w:cstheme="minorBidi"/>
          <w:b w:val="0"/>
          <w:sz w:val="22"/>
          <w:szCs w:val="22"/>
          <w:lang w:val="en-US"/>
        </w:rPr>
        <w:tab/>
      </w:r>
      <w:r w:rsidRPr="004A6617">
        <w:t>The unit of the DRX retransmission timer is same as that of HARQ RTT timer.</w:t>
      </w:r>
    </w:p>
    <w:p w14:paraId="556B06EC" w14:textId="77777777" w:rsidR="0065572E" w:rsidRDefault="0065572E">
      <w:pPr>
        <w:pStyle w:val="TOC1"/>
        <w:rPr>
          <w:rFonts w:asciiTheme="minorHAnsi" w:eastAsiaTheme="minorEastAsia" w:hAnsiTheme="minorHAnsi" w:cstheme="minorBidi"/>
          <w:b w:val="0"/>
          <w:sz w:val="22"/>
          <w:szCs w:val="22"/>
          <w:lang w:val="en-US"/>
        </w:rPr>
      </w:pPr>
      <w:r w:rsidRPr="004A6617">
        <w:lastRenderedPageBreak/>
        <w:t>Proposal 3.</w:t>
      </w:r>
      <w:r>
        <w:rPr>
          <w:rFonts w:asciiTheme="minorHAnsi" w:eastAsiaTheme="minorEastAsia" w:hAnsiTheme="minorHAnsi" w:cstheme="minorBidi"/>
          <w:b w:val="0"/>
          <w:sz w:val="22"/>
          <w:szCs w:val="22"/>
          <w:lang w:val="en-US"/>
        </w:rPr>
        <w:tab/>
      </w:r>
      <w:r w:rsidRPr="004A6617">
        <w:t>A new timer (BWP inactivity timer) is introduced to switch active BWP to default BWP after a certain inactive time.</w:t>
      </w:r>
    </w:p>
    <w:p w14:paraId="05F56F78" w14:textId="77777777" w:rsidR="0065572E" w:rsidRDefault="0065572E">
      <w:pPr>
        <w:pStyle w:val="TOC1"/>
        <w:rPr>
          <w:rFonts w:asciiTheme="minorHAnsi" w:eastAsiaTheme="minorEastAsia" w:hAnsiTheme="minorHAnsi" w:cstheme="minorBidi"/>
          <w:b w:val="0"/>
          <w:sz w:val="22"/>
          <w:szCs w:val="22"/>
          <w:lang w:val="en-US"/>
        </w:rPr>
      </w:pPr>
      <w:r w:rsidRPr="004A6617">
        <w:t>Proposal 4.</w:t>
      </w:r>
      <w:r>
        <w:rPr>
          <w:rFonts w:asciiTheme="minorHAnsi" w:eastAsiaTheme="minorEastAsia" w:hAnsiTheme="minorHAnsi" w:cstheme="minorBidi"/>
          <w:b w:val="0"/>
          <w:sz w:val="22"/>
          <w:szCs w:val="22"/>
          <w:lang w:val="en-US"/>
        </w:rPr>
        <w:tab/>
      </w:r>
      <w:r>
        <w:t xml:space="preserve">Autonomous switching to DL default BWP should consider both DL BWP inactivity timer and </w:t>
      </w:r>
      <w:r w:rsidRPr="004A6617">
        <w:t>DRX timers (HARQ RTT and DRX retransmission timers)</w:t>
      </w:r>
      <w:r>
        <w:t>.</w:t>
      </w:r>
    </w:p>
    <w:p w14:paraId="33C1F901" w14:textId="77777777" w:rsidR="0065572E" w:rsidRDefault="0065572E">
      <w:pPr>
        <w:pStyle w:val="TOC1"/>
        <w:rPr>
          <w:rFonts w:asciiTheme="minorHAnsi" w:eastAsiaTheme="minorEastAsia" w:hAnsiTheme="minorHAnsi" w:cstheme="minorBidi"/>
          <w:b w:val="0"/>
          <w:sz w:val="22"/>
          <w:szCs w:val="22"/>
          <w:lang w:val="en-US"/>
        </w:rPr>
      </w:pPr>
      <w:r w:rsidRPr="004A6617">
        <w:t>Proposal 5.</w:t>
      </w:r>
      <w:r>
        <w:rPr>
          <w:rFonts w:asciiTheme="minorHAnsi" w:eastAsiaTheme="minorEastAsia" w:hAnsiTheme="minorHAnsi" w:cstheme="minorBidi"/>
          <w:b w:val="0"/>
          <w:sz w:val="22"/>
          <w:szCs w:val="22"/>
          <w:lang w:val="en-US"/>
        </w:rPr>
        <w:tab/>
      </w:r>
      <w:r w:rsidRPr="004A6617">
        <w:t>DL BWP inactivity timer is configured per MAC entity.</w:t>
      </w:r>
    </w:p>
    <w:p w14:paraId="674F6730" w14:textId="0539F263" w:rsidR="00EC3224" w:rsidRPr="0065572E" w:rsidRDefault="00EC3224" w:rsidP="003010EA">
      <w:pPr>
        <w:pStyle w:val="TOC1"/>
        <w:rPr>
          <w:rFonts w:hint="eastAsia"/>
        </w:rPr>
      </w:pPr>
      <w:r w:rsidRPr="0065572E">
        <w:fldChar w:fldCharType="end"/>
      </w:r>
      <w:bookmarkStart w:id="93" w:name="_GoBack"/>
      <w:bookmarkEnd w:id="93"/>
    </w:p>
    <w:p w14:paraId="6C36882F" w14:textId="77777777" w:rsidR="00EC3224" w:rsidRPr="0065572E" w:rsidRDefault="00EC3224" w:rsidP="00EA3FD8">
      <w:pPr>
        <w:pStyle w:val="Heading1"/>
      </w:pPr>
      <w:r w:rsidRPr="0065572E">
        <w:t xml:space="preserve">References </w:t>
      </w:r>
    </w:p>
    <w:p w14:paraId="0313548F" w14:textId="7AA46D05" w:rsidR="00EC3224" w:rsidRPr="0065572E" w:rsidRDefault="00EC3224" w:rsidP="00EC3224">
      <w:pPr>
        <w:pStyle w:val="NormalWeb"/>
      </w:pPr>
      <w:r w:rsidRPr="0065572E">
        <w:t>[1] Draf</w:t>
      </w:r>
      <w:r w:rsidR="00016AA4" w:rsidRPr="0065572E">
        <w:t>t Report of 3GPP TSG RAN WG2 #97</w:t>
      </w:r>
      <w:r w:rsidRPr="0065572E">
        <w:t xml:space="preserve">bis, </w:t>
      </w:r>
      <w:r w:rsidR="00016AA4" w:rsidRPr="0065572E">
        <w:t>Spokane, USA</w:t>
      </w:r>
      <w:r w:rsidRPr="0065572E">
        <w:t xml:space="preserve">, </w:t>
      </w:r>
      <w:r w:rsidR="00016AA4" w:rsidRPr="0065572E">
        <w:t>April 4</w:t>
      </w:r>
      <w:r w:rsidR="00016AA4" w:rsidRPr="0065572E">
        <w:rPr>
          <w:vertAlign w:val="superscript"/>
        </w:rPr>
        <w:t>th</w:t>
      </w:r>
      <w:r w:rsidR="00016AA4" w:rsidRPr="0065572E">
        <w:t xml:space="preserve"> – 7</w:t>
      </w:r>
      <w:r w:rsidR="00016AA4" w:rsidRPr="0065572E">
        <w:rPr>
          <w:vertAlign w:val="superscript"/>
        </w:rPr>
        <w:t>th</w:t>
      </w:r>
      <w:r w:rsidR="00016AA4" w:rsidRPr="0065572E">
        <w:t>, 2017</w:t>
      </w:r>
      <w:r w:rsidRPr="0065572E">
        <w:t xml:space="preserve">. </w:t>
      </w:r>
    </w:p>
    <w:p w14:paraId="2BF5ACB2" w14:textId="067C8D36" w:rsidR="007513D4" w:rsidRPr="0065572E" w:rsidRDefault="007513D4" w:rsidP="00EC3224">
      <w:pPr>
        <w:pStyle w:val="NormalWeb"/>
      </w:pPr>
      <w:r w:rsidRPr="0065572E">
        <w:t>[2] Draft Report of 3GPP TSG RAN WG2 #NR AH 2, Qingdao, China, June 27</w:t>
      </w:r>
      <w:r w:rsidRPr="0065572E">
        <w:rPr>
          <w:vertAlign w:val="superscript"/>
        </w:rPr>
        <w:t>th</w:t>
      </w:r>
      <w:r w:rsidRPr="0065572E">
        <w:t xml:space="preserve"> – 29</w:t>
      </w:r>
      <w:r w:rsidRPr="0065572E">
        <w:rPr>
          <w:vertAlign w:val="superscript"/>
        </w:rPr>
        <w:t>th</w:t>
      </w:r>
      <w:r w:rsidRPr="0065572E">
        <w:t>, 2017.</w:t>
      </w:r>
      <w:r w:rsidRPr="0065572E" w:rsidDel="007513D4">
        <w:t xml:space="preserve"> </w:t>
      </w:r>
    </w:p>
    <w:p w14:paraId="0B29641A" w14:textId="30D900EB" w:rsidR="007513D4" w:rsidRPr="0065572E" w:rsidRDefault="007513D4" w:rsidP="007513D4">
      <w:pPr>
        <w:pStyle w:val="NormalWeb"/>
      </w:pPr>
      <w:r w:rsidRPr="0065572E">
        <w:t>[3] Draft Report of 3GPP TSG RAN WG2 #99, Berlin, Germany, August 21</w:t>
      </w:r>
      <w:r w:rsidRPr="0065572E">
        <w:rPr>
          <w:vertAlign w:val="superscript"/>
        </w:rPr>
        <w:t>st</w:t>
      </w:r>
      <w:r w:rsidRPr="0065572E">
        <w:t xml:space="preserve"> – 25</w:t>
      </w:r>
      <w:r w:rsidRPr="0065572E">
        <w:rPr>
          <w:vertAlign w:val="superscript"/>
        </w:rPr>
        <w:t>th</w:t>
      </w:r>
      <w:r w:rsidRPr="0065572E">
        <w:t xml:space="preserve">, 2017. </w:t>
      </w:r>
    </w:p>
    <w:p w14:paraId="37060AED" w14:textId="4AFBB62C" w:rsidR="00885E01" w:rsidRPr="0065572E" w:rsidRDefault="00885E01" w:rsidP="007513D4">
      <w:pPr>
        <w:pStyle w:val="NormalWeb"/>
      </w:pPr>
      <w:r w:rsidRPr="0065572E">
        <w:t>[4] Draft Report of 3GPP TSG RAN WG1 #NR AH 3, Nagoya, Japan, September 18</w:t>
      </w:r>
      <w:r w:rsidRPr="0065572E">
        <w:rPr>
          <w:vertAlign w:val="superscript"/>
        </w:rPr>
        <w:t>th</w:t>
      </w:r>
      <w:r w:rsidRPr="0065572E">
        <w:t xml:space="preserve"> – 21</w:t>
      </w:r>
      <w:r w:rsidRPr="0065572E">
        <w:rPr>
          <w:vertAlign w:val="superscript"/>
        </w:rPr>
        <w:t>st</w:t>
      </w:r>
      <w:r w:rsidRPr="0065572E">
        <w:t>, 2017.</w:t>
      </w:r>
    </w:p>
    <w:p w14:paraId="44EC122D" w14:textId="616BA984" w:rsidR="007513D4" w:rsidRPr="0065572E" w:rsidRDefault="007513D4" w:rsidP="007513D4">
      <w:pPr>
        <w:pStyle w:val="NormalWeb"/>
      </w:pPr>
      <w:r w:rsidRPr="0065572E">
        <w:t>[</w:t>
      </w:r>
      <w:r w:rsidR="001A11D4" w:rsidRPr="0065572E">
        <w:t>5</w:t>
      </w:r>
      <w:r w:rsidRPr="0065572E">
        <w:t>] Draft Report of 3GPP TSG RAN WG1 #90, Prague, Czech Republic, August 21</w:t>
      </w:r>
      <w:r w:rsidRPr="0065572E">
        <w:rPr>
          <w:vertAlign w:val="superscript"/>
        </w:rPr>
        <w:t>st</w:t>
      </w:r>
      <w:r w:rsidRPr="0065572E">
        <w:t xml:space="preserve"> – 25</w:t>
      </w:r>
      <w:r w:rsidRPr="0065572E">
        <w:rPr>
          <w:vertAlign w:val="superscript"/>
        </w:rPr>
        <w:t>th</w:t>
      </w:r>
      <w:r w:rsidRPr="0065572E">
        <w:t>, 2017.</w:t>
      </w:r>
    </w:p>
    <w:p w14:paraId="7341F8A0" w14:textId="77777777" w:rsidR="007513D4" w:rsidRPr="0065572E" w:rsidRDefault="007513D4" w:rsidP="007513D4">
      <w:pPr>
        <w:pStyle w:val="NormalWeb"/>
      </w:pPr>
    </w:p>
    <w:p w14:paraId="5D54A392" w14:textId="72A95CEE" w:rsidR="009572CD" w:rsidRPr="0065572E" w:rsidRDefault="007513D4" w:rsidP="00EC3224">
      <w:pPr>
        <w:pStyle w:val="NormalWeb"/>
      </w:pPr>
      <w:r w:rsidRPr="0065572E" w:rsidDel="007513D4">
        <w:t xml:space="preserve"> </w:t>
      </w:r>
    </w:p>
    <w:sectPr w:rsidR="009572CD" w:rsidRPr="0065572E">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E6F04"/>
    <w:multiLevelType w:val="hybridMultilevel"/>
    <w:tmpl w:val="1ADCB712"/>
    <w:lvl w:ilvl="0" w:tplc="50CC1AEE">
      <w:numFmt w:val="bullet"/>
      <w:lvlText w:val="•"/>
      <w:lvlJc w:val="left"/>
      <w:pPr>
        <w:ind w:left="1080" w:hanging="720"/>
      </w:pPr>
      <w:rPr>
        <w:rFonts w:ascii="Times New Roman" w:eastAsia="SimSun" w:hAnsi="Times New Roman" w:cs="Times New Roman" w:hint="default"/>
      </w:rPr>
    </w:lvl>
    <w:lvl w:ilvl="1" w:tplc="A640928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E5950"/>
    <w:multiLevelType w:val="hybridMultilevel"/>
    <w:tmpl w:val="4E72DA02"/>
    <w:lvl w:ilvl="0" w:tplc="75829420">
      <w:start w:val="10"/>
      <w:numFmt w:val="bullet"/>
      <w:lvlText w:val="-"/>
      <w:lvlJc w:val="left"/>
      <w:pPr>
        <w:ind w:left="1619" w:hanging="360"/>
      </w:pPr>
      <w:rPr>
        <w:rFonts w:ascii="Calibri" w:eastAsia="SimSun" w:hAnsi="Calibri" w:cs="Calibri" w:hint="default"/>
        <w:lang w:val="en-US"/>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334AA9"/>
    <w:multiLevelType w:val="hybridMultilevel"/>
    <w:tmpl w:val="DDCEEB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E049D"/>
    <w:multiLevelType w:val="hybridMultilevel"/>
    <w:tmpl w:val="66461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D3666"/>
    <w:multiLevelType w:val="hybridMultilevel"/>
    <w:tmpl w:val="352C61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8D4841"/>
    <w:multiLevelType w:val="hybridMultilevel"/>
    <w:tmpl w:val="54607E30"/>
    <w:lvl w:ilvl="0" w:tplc="D186B7A2">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E10FE"/>
    <w:multiLevelType w:val="hybridMultilevel"/>
    <w:tmpl w:val="669A97CA"/>
    <w:lvl w:ilvl="0" w:tplc="C63EEF5C">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247F5E"/>
    <w:multiLevelType w:val="hybridMultilevel"/>
    <w:tmpl w:val="102A7DEA"/>
    <w:lvl w:ilvl="0" w:tplc="B19098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904129"/>
    <w:multiLevelType w:val="hybridMultilevel"/>
    <w:tmpl w:val="80920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A0FC9"/>
    <w:multiLevelType w:val="hybridMultilevel"/>
    <w:tmpl w:val="739CA06E"/>
    <w:lvl w:ilvl="0" w:tplc="D186B7A2">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647301"/>
    <w:multiLevelType w:val="multilevel"/>
    <w:tmpl w:val="03F66B00"/>
    <w:lvl w:ilvl="0">
      <w:start w:val="1"/>
      <w:numFmt w:val="decimal"/>
      <w:pStyle w:val="Heading1"/>
      <w:lvlText w:val="%1"/>
      <w:lvlJc w:val="left"/>
      <w:pPr>
        <w:ind w:left="432" w:hanging="432"/>
      </w:pPr>
    </w:lvl>
    <w:lvl w:ilvl="1">
      <w:start w:val="1"/>
      <w:numFmt w:val="decimal"/>
      <w:pStyle w:val="Heading2"/>
      <w:lvlText w:val="%1.%2"/>
      <w:lvlJc w:val="left"/>
      <w:pPr>
        <w:ind w:left="66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783210"/>
    <w:multiLevelType w:val="multilevel"/>
    <w:tmpl w:val="A76C84A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042292"/>
    <w:multiLevelType w:val="hybridMultilevel"/>
    <w:tmpl w:val="0298CC84"/>
    <w:lvl w:ilvl="0" w:tplc="50CC1AEE">
      <w:numFmt w:val="bullet"/>
      <w:lvlText w:val="•"/>
      <w:lvlJc w:val="left"/>
      <w:pPr>
        <w:ind w:left="1080" w:hanging="72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5A2392"/>
    <w:multiLevelType w:val="hybridMultilevel"/>
    <w:tmpl w:val="E0D60048"/>
    <w:lvl w:ilvl="0" w:tplc="75829420">
      <w:start w:val="10"/>
      <w:numFmt w:val="bullet"/>
      <w:lvlText w:val="-"/>
      <w:lvlJc w:val="left"/>
      <w:pPr>
        <w:ind w:left="360" w:hanging="360"/>
      </w:pPr>
      <w:rPr>
        <w:rFonts w:ascii="Calibri" w:eastAsia="SimSun" w:hAnsi="Calibri" w:cs="Calibri"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3EB5EB0"/>
    <w:multiLevelType w:val="hybridMultilevel"/>
    <w:tmpl w:val="07EEAE56"/>
    <w:lvl w:ilvl="0" w:tplc="0F9297FC">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39"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57240F"/>
    <w:multiLevelType w:val="hybridMultilevel"/>
    <w:tmpl w:val="019653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8"/>
  </w:num>
  <w:num w:numId="3">
    <w:abstractNumId w:val="25"/>
  </w:num>
  <w:num w:numId="4">
    <w:abstractNumId w:val="10"/>
  </w:num>
  <w:num w:numId="5">
    <w:abstractNumId w:val="37"/>
  </w:num>
  <w:num w:numId="6">
    <w:abstractNumId w:val="29"/>
  </w:num>
  <w:num w:numId="7">
    <w:abstractNumId w:val="34"/>
  </w:num>
  <w:num w:numId="8">
    <w:abstractNumId w:val="33"/>
  </w:num>
  <w:num w:numId="9">
    <w:abstractNumId w:val="18"/>
  </w:num>
  <w:num w:numId="10">
    <w:abstractNumId w:val="20"/>
  </w:num>
  <w:num w:numId="11">
    <w:abstractNumId w:val="7"/>
  </w:num>
  <w:num w:numId="12">
    <w:abstractNumId w:val="0"/>
  </w:num>
  <w:num w:numId="13">
    <w:abstractNumId w:val="21"/>
  </w:num>
  <w:num w:numId="14">
    <w:abstractNumId w:val="26"/>
  </w:num>
  <w:num w:numId="15">
    <w:abstractNumId w:val="30"/>
  </w:num>
  <w:num w:numId="16">
    <w:abstractNumId w:val="24"/>
  </w:num>
  <w:num w:numId="17">
    <w:abstractNumId w:val="2"/>
  </w:num>
  <w:num w:numId="18">
    <w:abstractNumId w:val="4"/>
  </w:num>
  <w:num w:numId="19">
    <w:abstractNumId w:val="32"/>
  </w:num>
  <w:num w:numId="20">
    <w:abstractNumId w:val="16"/>
  </w:num>
  <w:num w:numId="21">
    <w:abstractNumId w:val="5"/>
  </w:num>
  <w:num w:numId="22">
    <w:abstractNumId w:val="15"/>
  </w:num>
  <w:num w:numId="23">
    <w:abstractNumId w:val="35"/>
  </w:num>
  <w:num w:numId="24">
    <w:abstractNumId w:val="8"/>
  </w:num>
  <w:num w:numId="25">
    <w:abstractNumId w:val="39"/>
  </w:num>
  <w:num w:numId="26">
    <w:abstractNumId w:val="3"/>
  </w:num>
  <w:num w:numId="27">
    <w:abstractNumId w:val="9"/>
  </w:num>
  <w:num w:numId="28">
    <w:abstractNumId w:val="6"/>
  </w:num>
  <w:num w:numId="29">
    <w:abstractNumId w:val="28"/>
  </w:num>
  <w:num w:numId="30">
    <w:abstractNumId w:val="17"/>
  </w:num>
  <w:num w:numId="31">
    <w:abstractNumId w:val="13"/>
  </w:num>
  <w:num w:numId="32">
    <w:abstractNumId w:val="14"/>
  </w:num>
  <w:num w:numId="33">
    <w:abstractNumId w:val="40"/>
  </w:num>
  <w:num w:numId="34">
    <w:abstractNumId w:val="23"/>
  </w:num>
  <w:num w:numId="35">
    <w:abstractNumId w:val="12"/>
  </w:num>
  <w:num w:numId="36">
    <w:abstractNumId w:val="36"/>
  </w:num>
  <w:num w:numId="37">
    <w:abstractNumId w:val="19"/>
  </w:num>
  <w:num w:numId="38">
    <w:abstractNumId w:val="11"/>
  </w:num>
  <w:num w:numId="39">
    <w:abstractNumId w:val="1"/>
  </w:num>
  <w:num w:numId="40">
    <w:abstractNumId w:val="27"/>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70F"/>
    <w:rsid w:val="000077B9"/>
    <w:rsid w:val="00007A33"/>
    <w:rsid w:val="000132E6"/>
    <w:rsid w:val="00016AA4"/>
    <w:rsid w:val="0003614F"/>
    <w:rsid w:val="00040FEE"/>
    <w:rsid w:val="00051683"/>
    <w:rsid w:val="00053B6C"/>
    <w:rsid w:val="00060CB9"/>
    <w:rsid w:val="00074D61"/>
    <w:rsid w:val="000777AA"/>
    <w:rsid w:val="0008410A"/>
    <w:rsid w:val="00086DF8"/>
    <w:rsid w:val="00090CBF"/>
    <w:rsid w:val="00092F50"/>
    <w:rsid w:val="000A55D8"/>
    <w:rsid w:val="000B5BE5"/>
    <w:rsid w:val="000B6BDA"/>
    <w:rsid w:val="000D7C89"/>
    <w:rsid w:val="000E1747"/>
    <w:rsid w:val="000F1F20"/>
    <w:rsid w:val="000F42B9"/>
    <w:rsid w:val="000F6059"/>
    <w:rsid w:val="00115345"/>
    <w:rsid w:val="0012639D"/>
    <w:rsid w:val="0013250E"/>
    <w:rsid w:val="00132EA7"/>
    <w:rsid w:val="00134C2B"/>
    <w:rsid w:val="0014229E"/>
    <w:rsid w:val="00150773"/>
    <w:rsid w:val="00151E25"/>
    <w:rsid w:val="001601CE"/>
    <w:rsid w:val="001647AA"/>
    <w:rsid w:val="00173BC0"/>
    <w:rsid w:val="00180AEF"/>
    <w:rsid w:val="00185796"/>
    <w:rsid w:val="00186471"/>
    <w:rsid w:val="00187B2E"/>
    <w:rsid w:val="0019462E"/>
    <w:rsid w:val="00195408"/>
    <w:rsid w:val="001A0D01"/>
    <w:rsid w:val="001A11D4"/>
    <w:rsid w:val="001A1402"/>
    <w:rsid w:val="001A7BAA"/>
    <w:rsid w:val="001B546B"/>
    <w:rsid w:val="001C20BB"/>
    <w:rsid w:val="001E50E3"/>
    <w:rsid w:val="001F0BD2"/>
    <w:rsid w:val="00205029"/>
    <w:rsid w:val="00206E2A"/>
    <w:rsid w:val="00222F9D"/>
    <w:rsid w:val="002243A7"/>
    <w:rsid w:val="0022448F"/>
    <w:rsid w:val="00224904"/>
    <w:rsid w:val="00226E97"/>
    <w:rsid w:val="00227E21"/>
    <w:rsid w:val="00233ECA"/>
    <w:rsid w:val="00236CEA"/>
    <w:rsid w:val="00245F07"/>
    <w:rsid w:val="00256160"/>
    <w:rsid w:val="002669BE"/>
    <w:rsid w:val="00267101"/>
    <w:rsid w:val="00282E73"/>
    <w:rsid w:val="00283641"/>
    <w:rsid w:val="00297D20"/>
    <w:rsid w:val="002A0D67"/>
    <w:rsid w:val="002A2AF2"/>
    <w:rsid w:val="002A7F4B"/>
    <w:rsid w:val="002B633C"/>
    <w:rsid w:val="002C244A"/>
    <w:rsid w:val="002C4F89"/>
    <w:rsid w:val="002D07F8"/>
    <w:rsid w:val="002D62E0"/>
    <w:rsid w:val="002D7F6B"/>
    <w:rsid w:val="002E125B"/>
    <w:rsid w:val="002F09BC"/>
    <w:rsid w:val="002F51C7"/>
    <w:rsid w:val="003010EA"/>
    <w:rsid w:val="00302AE8"/>
    <w:rsid w:val="003152A0"/>
    <w:rsid w:val="00321801"/>
    <w:rsid w:val="00325BAE"/>
    <w:rsid w:val="003265A3"/>
    <w:rsid w:val="00332F82"/>
    <w:rsid w:val="00334F53"/>
    <w:rsid w:val="003463F8"/>
    <w:rsid w:val="0034706F"/>
    <w:rsid w:val="00347786"/>
    <w:rsid w:val="00352E27"/>
    <w:rsid w:val="00374681"/>
    <w:rsid w:val="00381705"/>
    <w:rsid w:val="003861CC"/>
    <w:rsid w:val="00390A9C"/>
    <w:rsid w:val="0039518A"/>
    <w:rsid w:val="003A02AE"/>
    <w:rsid w:val="003A5035"/>
    <w:rsid w:val="003B1349"/>
    <w:rsid w:val="003B7168"/>
    <w:rsid w:val="003C2902"/>
    <w:rsid w:val="003C2ECA"/>
    <w:rsid w:val="003D57A0"/>
    <w:rsid w:val="003D779D"/>
    <w:rsid w:val="003E1747"/>
    <w:rsid w:val="003E389C"/>
    <w:rsid w:val="003E48D0"/>
    <w:rsid w:val="003E5731"/>
    <w:rsid w:val="0040158C"/>
    <w:rsid w:val="00411685"/>
    <w:rsid w:val="0041666B"/>
    <w:rsid w:val="004255DA"/>
    <w:rsid w:val="0043436C"/>
    <w:rsid w:val="00443720"/>
    <w:rsid w:val="00447542"/>
    <w:rsid w:val="00451DF6"/>
    <w:rsid w:val="0046109F"/>
    <w:rsid w:val="00463E32"/>
    <w:rsid w:val="00466241"/>
    <w:rsid w:val="00466C51"/>
    <w:rsid w:val="00467B72"/>
    <w:rsid w:val="00481568"/>
    <w:rsid w:val="004862D4"/>
    <w:rsid w:val="00487647"/>
    <w:rsid w:val="00490E73"/>
    <w:rsid w:val="004A7CBF"/>
    <w:rsid w:val="004B1262"/>
    <w:rsid w:val="004B30BB"/>
    <w:rsid w:val="004B3CA2"/>
    <w:rsid w:val="004B66E8"/>
    <w:rsid w:val="004C43A1"/>
    <w:rsid w:val="004C6DF7"/>
    <w:rsid w:val="004C6F93"/>
    <w:rsid w:val="004C793A"/>
    <w:rsid w:val="004D3589"/>
    <w:rsid w:val="004E1611"/>
    <w:rsid w:val="004F7610"/>
    <w:rsid w:val="005214D2"/>
    <w:rsid w:val="00522F97"/>
    <w:rsid w:val="00524D42"/>
    <w:rsid w:val="00532F3F"/>
    <w:rsid w:val="005345D2"/>
    <w:rsid w:val="005347DA"/>
    <w:rsid w:val="00560287"/>
    <w:rsid w:val="0056048B"/>
    <w:rsid w:val="00566611"/>
    <w:rsid w:val="00566D22"/>
    <w:rsid w:val="00577AA3"/>
    <w:rsid w:val="00594BF1"/>
    <w:rsid w:val="005A4AC1"/>
    <w:rsid w:val="005C405B"/>
    <w:rsid w:val="005C7AD9"/>
    <w:rsid w:val="005E0CC0"/>
    <w:rsid w:val="005E1EC9"/>
    <w:rsid w:val="005E4BE4"/>
    <w:rsid w:val="005F61D3"/>
    <w:rsid w:val="006018F3"/>
    <w:rsid w:val="00613171"/>
    <w:rsid w:val="006174EA"/>
    <w:rsid w:val="00636BBD"/>
    <w:rsid w:val="00644797"/>
    <w:rsid w:val="0065572E"/>
    <w:rsid w:val="00661B0A"/>
    <w:rsid w:val="006739ED"/>
    <w:rsid w:val="00673F1E"/>
    <w:rsid w:val="006743D8"/>
    <w:rsid w:val="00676508"/>
    <w:rsid w:val="00687CA8"/>
    <w:rsid w:val="00693086"/>
    <w:rsid w:val="006947B3"/>
    <w:rsid w:val="006A18AB"/>
    <w:rsid w:val="006A5477"/>
    <w:rsid w:val="006A6989"/>
    <w:rsid w:val="006A7B10"/>
    <w:rsid w:val="006E2C6B"/>
    <w:rsid w:val="006E3858"/>
    <w:rsid w:val="006E55F7"/>
    <w:rsid w:val="006E59EA"/>
    <w:rsid w:val="007001D4"/>
    <w:rsid w:val="0070187C"/>
    <w:rsid w:val="00706E30"/>
    <w:rsid w:val="00712E9D"/>
    <w:rsid w:val="0072721E"/>
    <w:rsid w:val="00730E4E"/>
    <w:rsid w:val="00740EFA"/>
    <w:rsid w:val="00744C91"/>
    <w:rsid w:val="007513D4"/>
    <w:rsid w:val="007564DA"/>
    <w:rsid w:val="00760C26"/>
    <w:rsid w:val="00767EA6"/>
    <w:rsid w:val="0077190D"/>
    <w:rsid w:val="00771AC0"/>
    <w:rsid w:val="007904A4"/>
    <w:rsid w:val="0079669D"/>
    <w:rsid w:val="007A2C88"/>
    <w:rsid w:val="007A60DB"/>
    <w:rsid w:val="007A7CD1"/>
    <w:rsid w:val="007B14BD"/>
    <w:rsid w:val="007C11A3"/>
    <w:rsid w:val="007C31A4"/>
    <w:rsid w:val="007C3219"/>
    <w:rsid w:val="007C5683"/>
    <w:rsid w:val="007D0373"/>
    <w:rsid w:val="007D6A55"/>
    <w:rsid w:val="007E1A98"/>
    <w:rsid w:val="007E53F9"/>
    <w:rsid w:val="007F231B"/>
    <w:rsid w:val="007F5434"/>
    <w:rsid w:val="008020A1"/>
    <w:rsid w:val="00813102"/>
    <w:rsid w:val="008209DF"/>
    <w:rsid w:val="00821684"/>
    <w:rsid w:val="00822E6C"/>
    <w:rsid w:val="00826523"/>
    <w:rsid w:val="008325B8"/>
    <w:rsid w:val="0083499D"/>
    <w:rsid w:val="00837A5B"/>
    <w:rsid w:val="00841DC5"/>
    <w:rsid w:val="008511D6"/>
    <w:rsid w:val="00864BFE"/>
    <w:rsid w:val="00867F78"/>
    <w:rsid w:val="00873ED0"/>
    <w:rsid w:val="00885E01"/>
    <w:rsid w:val="00886B46"/>
    <w:rsid w:val="00894823"/>
    <w:rsid w:val="008A29BF"/>
    <w:rsid w:val="008A2B40"/>
    <w:rsid w:val="008B008A"/>
    <w:rsid w:val="008B0C5C"/>
    <w:rsid w:val="008B166A"/>
    <w:rsid w:val="008B4B01"/>
    <w:rsid w:val="008B68C6"/>
    <w:rsid w:val="008C208A"/>
    <w:rsid w:val="008F0C46"/>
    <w:rsid w:val="009077C4"/>
    <w:rsid w:val="009111AC"/>
    <w:rsid w:val="00912200"/>
    <w:rsid w:val="00913BF9"/>
    <w:rsid w:val="009418E3"/>
    <w:rsid w:val="00942659"/>
    <w:rsid w:val="00943F01"/>
    <w:rsid w:val="00953E1A"/>
    <w:rsid w:val="0095408E"/>
    <w:rsid w:val="00956058"/>
    <w:rsid w:val="009572CD"/>
    <w:rsid w:val="00960E91"/>
    <w:rsid w:val="00974834"/>
    <w:rsid w:val="00975D81"/>
    <w:rsid w:val="009940E8"/>
    <w:rsid w:val="009A0F9D"/>
    <w:rsid w:val="009B618E"/>
    <w:rsid w:val="009E60B5"/>
    <w:rsid w:val="009F4402"/>
    <w:rsid w:val="009F4E5F"/>
    <w:rsid w:val="00A0309B"/>
    <w:rsid w:val="00A035CA"/>
    <w:rsid w:val="00A05895"/>
    <w:rsid w:val="00A10A77"/>
    <w:rsid w:val="00A143D3"/>
    <w:rsid w:val="00A147C8"/>
    <w:rsid w:val="00A17448"/>
    <w:rsid w:val="00A22257"/>
    <w:rsid w:val="00A23091"/>
    <w:rsid w:val="00A25B94"/>
    <w:rsid w:val="00A310F8"/>
    <w:rsid w:val="00A360CE"/>
    <w:rsid w:val="00A4670F"/>
    <w:rsid w:val="00A572F3"/>
    <w:rsid w:val="00AA14C5"/>
    <w:rsid w:val="00AB21FB"/>
    <w:rsid w:val="00AB2831"/>
    <w:rsid w:val="00AC12CD"/>
    <w:rsid w:val="00AC5EAD"/>
    <w:rsid w:val="00AF1872"/>
    <w:rsid w:val="00B11EB7"/>
    <w:rsid w:val="00B1362B"/>
    <w:rsid w:val="00B145C0"/>
    <w:rsid w:val="00B2143A"/>
    <w:rsid w:val="00B249CE"/>
    <w:rsid w:val="00B35DEB"/>
    <w:rsid w:val="00B43927"/>
    <w:rsid w:val="00B44716"/>
    <w:rsid w:val="00B5120D"/>
    <w:rsid w:val="00B560FB"/>
    <w:rsid w:val="00B56792"/>
    <w:rsid w:val="00B736F3"/>
    <w:rsid w:val="00B74CE7"/>
    <w:rsid w:val="00B77B56"/>
    <w:rsid w:val="00B845E1"/>
    <w:rsid w:val="00B86797"/>
    <w:rsid w:val="00B875EA"/>
    <w:rsid w:val="00B96D8C"/>
    <w:rsid w:val="00B970F9"/>
    <w:rsid w:val="00BB3B52"/>
    <w:rsid w:val="00BD5799"/>
    <w:rsid w:val="00BF384A"/>
    <w:rsid w:val="00BF67A3"/>
    <w:rsid w:val="00C04C96"/>
    <w:rsid w:val="00C1384F"/>
    <w:rsid w:val="00C25E65"/>
    <w:rsid w:val="00C46271"/>
    <w:rsid w:val="00C503CA"/>
    <w:rsid w:val="00C54B87"/>
    <w:rsid w:val="00C62434"/>
    <w:rsid w:val="00C67548"/>
    <w:rsid w:val="00C71A76"/>
    <w:rsid w:val="00C90D6F"/>
    <w:rsid w:val="00C9555E"/>
    <w:rsid w:val="00C96983"/>
    <w:rsid w:val="00C97308"/>
    <w:rsid w:val="00CA1ABF"/>
    <w:rsid w:val="00CA1B6E"/>
    <w:rsid w:val="00CA5ED9"/>
    <w:rsid w:val="00CB5CFC"/>
    <w:rsid w:val="00CC4719"/>
    <w:rsid w:val="00CD4664"/>
    <w:rsid w:val="00CE071B"/>
    <w:rsid w:val="00CE68E4"/>
    <w:rsid w:val="00CF58F2"/>
    <w:rsid w:val="00D008A9"/>
    <w:rsid w:val="00D1021A"/>
    <w:rsid w:val="00D134CB"/>
    <w:rsid w:val="00D14A88"/>
    <w:rsid w:val="00D22534"/>
    <w:rsid w:val="00D36E05"/>
    <w:rsid w:val="00D375AF"/>
    <w:rsid w:val="00D42257"/>
    <w:rsid w:val="00D42EE8"/>
    <w:rsid w:val="00D46F84"/>
    <w:rsid w:val="00D4729F"/>
    <w:rsid w:val="00D51629"/>
    <w:rsid w:val="00D55D34"/>
    <w:rsid w:val="00D56824"/>
    <w:rsid w:val="00D626D1"/>
    <w:rsid w:val="00D62BEA"/>
    <w:rsid w:val="00D6322E"/>
    <w:rsid w:val="00D70680"/>
    <w:rsid w:val="00D717AB"/>
    <w:rsid w:val="00D77607"/>
    <w:rsid w:val="00D86F7A"/>
    <w:rsid w:val="00D9090D"/>
    <w:rsid w:val="00D91801"/>
    <w:rsid w:val="00DA314C"/>
    <w:rsid w:val="00DA4AEE"/>
    <w:rsid w:val="00DA6E94"/>
    <w:rsid w:val="00DA77AD"/>
    <w:rsid w:val="00DB152D"/>
    <w:rsid w:val="00DB1AC6"/>
    <w:rsid w:val="00DB20D0"/>
    <w:rsid w:val="00DB7C78"/>
    <w:rsid w:val="00DC1CD2"/>
    <w:rsid w:val="00DC277A"/>
    <w:rsid w:val="00DC5047"/>
    <w:rsid w:val="00DC58D1"/>
    <w:rsid w:val="00DC5FF1"/>
    <w:rsid w:val="00DD28D1"/>
    <w:rsid w:val="00DD3528"/>
    <w:rsid w:val="00DE0BC9"/>
    <w:rsid w:val="00DE5054"/>
    <w:rsid w:val="00DE63EB"/>
    <w:rsid w:val="00DF24A9"/>
    <w:rsid w:val="00DF282A"/>
    <w:rsid w:val="00DF5E8E"/>
    <w:rsid w:val="00E0361F"/>
    <w:rsid w:val="00E45ED1"/>
    <w:rsid w:val="00E47C6E"/>
    <w:rsid w:val="00E50713"/>
    <w:rsid w:val="00E53F56"/>
    <w:rsid w:val="00E55E76"/>
    <w:rsid w:val="00E56F2D"/>
    <w:rsid w:val="00E61BB1"/>
    <w:rsid w:val="00E977A5"/>
    <w:rsid w:val="00EA3FD8"/>
    <w:rsid w:val="00EB16EC"/>
    <w:rsid w:val="00EB19BC"/>
    <w:rsid w:val="00EB7ECC"/>
    <w:rsid w:val="00EC3224"/>
    <w:rsid w:val="00ED7378"/>
    <w:rsid w:val="00EE409F"/>
    <w:rsid w:val="00EE4643"/>
    <w:rsid w:val="00EE71AB"/>
    <w:rsid w:val="00EF4E94"/>
    <w:rsid w:val="00EF60FD"/>
    <w:rsid w:val="00F05897"/>
    <w:rsid w:val="00F1064D"/>
    <w:rsid w:val="00F10FA5"/>
    <w:rsid w:val="00F16C86"/>
    <w:rsid w:val="00F17B51"/>
    <w:rsid w:val="00F27D92"/>
    <w:rsid w:val="00F42860"/>
    <w:rsid w:val="00F4795C"/>
    <w:rsid w:val="00F513C5"/>
    <w:rsid w:val="00F5470F"/>
    <w:rsid w:val="00F555BE"/>
    <w:rsid w:val="00F55657"/>
    <w:rsid w:val="00F73BA4"/>
    <w:rsid w:val="00F8236E"/>
    <w:rsid w:val="00F8545A"/>
    <w:rsid w:val="00F9014E"/>
    <w:rsid w:val="00F9274D"/>
    <w:rsid w:val="00FA0D2D"/>
    <w:rsid w:val="00FA422A"/>
    <w:rsid w:val="00FA6715"/>
    <w:rsid w:val="00FA6BF8"/>
    <w:rsid w:val="00FA795A"/>
    <w:rsid w:val="00FB1B0E"/>
    <w:rsid w:val="00FD2A7F"/>
    <w:rsid w:val="00FD5BFE"/>
    <w:rsid w:val="00FE568D"/>
    <w:rsid w:val="00FF1ED1"/>
    <w:rsid w:val="00FF47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BD175"/>
  <w15:docId w15:val="{03051C1A-C79F-4599-AD2B-6CA9D9908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qFormat/>
    <w:rsid w:val="000F42B9"/>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EC3224"/>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unhideWhenUsed/>
    <w:qFormat/>
    <w:rsid w:val="00EC3224"/>
    <w:pPr>
      <w:numPr>
        <w:ilvl w:val="2"/>
      </w:numPr>
      <w:spacing w:before="120"/>
      <w:outlineLvl w:val="2"/>
    </w:pPr>
    <w:rPr>
      <w:sz w:val="28"/>
    </w:rPr>
  </w:style>
  <w:style w:type="paragraph" w:styleId="Heading4">
    <w:name w:val="heading 4"/>
    <w:basedOn w:val="Normal"/>
    <w:next w:val="Normal"/>
    <w:link w:val="Heading4Char"/>
    <w:uiPriority w:val="9"/>
    <w:unhideWhenUsed/>
    <w:qFormat/>
    <w:rsid w:val="00EC3224"/>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C3224"/>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C3224"/>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C3224"/>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C3224"/>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C3224"/>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F42B9"/>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EC3224"/>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rsid w:val="00EC3224"/>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EC3224"/>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EC3224"/>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EC3224"/>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EC322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EC3224"/>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EC3224"/>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EC3224"/>
    <w:pPr>
      <w:numPr>
        <w:numId w:val="2"/>
      </w:numPr>
      <w:jc w:val="both"/>
    </w:pPr>
    <w:rPr>
      <w:lang w:eastAsia="x-none"/>
    </w:rPr>
  </w:style>
  <w:style w:type="character" w:customStyle="1" w:styleId="Recommend-1Char">
    <w:name w:val="Recommend-1 Char"/>
    <w:link w:val="Recommend-1"/>
    <w:rsid w:val="00EC3224"/>
    <w:rPr>
      <w:rFonts w:ascii="Times New Roman" w:eastAsia="SimSun" w:hAnsi="Times New Roman" w:cs="Times New Roman"/>
      <w:sz w:val="20"/>
      <w:szCs w:val="20"/>
      <w:lang w:eastAsia="x-none"/>
    </w:rPr>
  </w:style>
  <w:style w:type="paragraph" w:styleId="ListParagraph">
    <w:name w:val="List Paragraph"/>
    <w:basedOn w:val="Normal"/>
    <w:link w:val="ListParagraphChar"/>
    <w:uiPriority w:val="34"/>
    <w:qFormat/>
    <w:rsid w:val="00EC3224"/>
    <w:pPr>
      <w:ind w:left="720"/>
      <w:contextualSpacing/>
    </w:pPr>
  </w:style>
  <w:style w:type="paragraph" w:customStyle="1" w:styleId="Normalstyle">
    <w:name w:val="Normal style"/>
    <w:basedOn w:val="Normal"/>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NormalWeb">
    <w:name w:val="Normal (Web)"/>
    <w:basedOn w:val="Normal"/>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TOC1">
    <w:name w:val="toc 1"/>
    <w:basedOn w:val="Normal"/>
    <w:next w:val="Normal"/>
    <w:autoRedefine/>
    <w:uiPriority w:val="39"/>
    <w:unhideWhenUsed/>
    <w:rsid w:val="00302AE8"/>
    <w:pPr>
      <w:tabs>
        <w:tab w:val="left" w:pos="990"/>
        <w:tab w:val="right" w:leader="dot" w:pos="9350"/>
      </w:tabs>
      <w:spacing w:after="100"/>
    </w:pPr>
    <w:rPr>
      <w:rFonts w:ascii="Times New Roman Bold" w:hAnsi="Times New Roman Bold"/>
      <w:b/>
      <w:noProof/>
      <w:lang w:val="en-GB"/>
    </w:rPr>
  </w:style>
  <w:style w:type="paragraph" w:customStyle="1" w:styleId="Doc-text2">
    <w:name w:val="Doc-text2"/>
    <w:basedOn w:val="Normal"/>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autoRedefine/>
    <w:qFormat/>
    <w:rsid w:val="008020A1"/>
    <w:pPr>
      <w:numPr>
        <w:numId w:val="3"/>
      </w:numPr>
      <w:jc w:val="both"/>
    </w:pPr>
    <w:rPr>
      <w:b/>
      <w:color w:val="FF0000"/>
      <w:lang w:val="en-GB" w:eastAsia="x-none"/>
    </w:rPr>
  </w:style>
  <w:style w:type="character" w:customStyle="1" w:styleId="ObservationstyleChar">
    <w:name w:val="Observation style Char"/>
    <w:link w:val="Observationstyle"/>
    <w:rsid w:val="008020A1"/>
    <w:rPr>
      <w:rFonts w:ascii="Times New Roman" w:hAnsi="Times New Roman" w:cs="Times New Roman"/>
      <w:b/>
      <w:color w:val="FF0000"/>
      <w:sz w:val="20"/>
      <w:szCs w:val="20"/>
      <w:lang w:val="en-GB" w:eastAsia="x-none"/>
    </w:rPr>
  </w:style>
  <w:style w:type="character" w:styleId="CommentReference">
    <w:name w:val="annotation reference"/>
    <w:basedOn w:val="DefaultParagraphFont"/>
    <w:uiPriority w:val="99"/>
    <w:semiHidden/>
    <w:unhideWhenUsed/>
    <w:rsid w:val="00D55D34"/>
    <w:rPr>
      <w:sz w:val="16"/>
      <w:szCs w:val="16"/>
    </w:rPr>
  </w:style>
  <w:style w:type="paragraph" w:styleId="CommentText">
    <w:name w:val="annotation text"/>
    <w:basedOn w:val="Normal"/>
    <w:link w:val="CommentTextChar"/>
    <w:uiPriority w:val="99"/>
    <w:unhideWhenUsed/>
    <w:rsid w:val="00D55D34"/>
  </w:style>
  <w:style w:type="character" w:customStyle="1" w:styleId="CommentTextChar">
    <w:name w:val="Comment Text Char"/>
    <w:basedOn w:val="DefaultParagraphFont"/>
    <w:link w:val="CommentText"/>
    <w:uiPriority w:val="99"/>
    <w:rsid w:val="00D55D34"/>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55D34"/>
    <w:rPr>
      <w:b/>
      <w:bCs/>
    </w:rPr>
  </w:style>
  <w:style w:type="character" w:customStyle="1" w:styleId="CommentSubjectChar">
    <w:name w:val="Comment Subject Char"/>
    <w:basedOn w:val="CommentTextChar"/>
    <w:link w:val="CommentSubject"/>
    <w:uiPriority w:val="99"/>
    <w:semiHidden/>
    <w:rsid w:val="00D55D34"/>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D55D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5D34"/>
    <w:rPr>
      <w:rFonts w:ascii="Segoe UI" w:eastAsia="SimSun" w:hAnsi="Segoe UI" w:cs="Segoe UI"/>
      <w:sz w:val="18"/>
      <w:szCs w:val="18"/>
    </w:rPr>
  </w:style>
  <w:style w:type="paragraph" w:styleId="Revision">
    <w:name w:val="Revision"/>
    <w:hidden/>
    <w:uiPriority w:val="99"/>
    <w:semiHidden/>
    <w:rsid w:val="000F42B9"/>
    <w:pPr>
      <w:spacing w:after="0" w:line="240" w:lineRule="auto"/>
    </w:pPr>
    <w:rPr>
      <w:rFonts w:ascii="Times New Roman" w:hAnsi="Times New Roman" w:cs="Times New Roman"/>
      <w:sz w:val="20"/>
      <w:szCs w:val="20"/>
    </w:rPr>
  </w:style>
  <w:style w:type="table" w:styleId="TableGrid">
    <w:name w:val="Table Grid"/>
    <w:basedOn w:val="TableNormal"/>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F24A9"/>
    <w:pPr>
      <w:spacing w:after="200"/>
    </w:pPr>
    <w:rPr>
      <w:i/>
      <w:iCs/>
      <w:color w:val="44546A" w:themeColor="text2"/>
      <w:sz w:val="18"/>
      <w:szCs w:val="18"/>
    </w:rPr>
  </w:style>
  <w:style w:type="character" w:customStyle="1" w:styleId="ListParagraphChar">
    <w:name w:val="List Paragraph Char"/>
    <w:link w:val="ListParagraph"/>
    <w:uiPriority w:val="34"/>
    <w:locked/>
    <w:rsid w:val="00F4795C"/>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053651">
      <w:bodyDiv w:val="1"/>
      <w:marLeft w:val="0"/>
      <w:marRight w:val="0"/>
      <w:marTop w:val="0"/>
      <w:marBottom w:val="0"/>
      <w:divBdr>
        <w:top w:val="none" w:sz="0" w:space="0" w:color="auto"/>
        <w:left w:val="none" w:sz="0" w:space="0" w:color="auto"/>
        <w:bottom w:val="none" w:sz="0" w:space="0" w:color="auto"/>
        <w:right w:val="none" w:sz="0" w:space="0" w:color="auto"/>
      </w:divBdr>
    </w:div>
    <w:div w:id="166782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FFB42-8398-493D-B7E8-1F151A1B0D07}">
  <ds:schemaRefs>
    <ds:schemaRef ds:uri="http://schemas.microsoft.com/sharepoint/v3/contenttype/forms"/>
  </ds:schemaRefs>
</ds:datastoreItem>
</file>

<file path=customXml/itemProps2.xml><?xml version="1.0" encoding="utf-8"?>
<ds:datastoreItem xmlns:ds="http://schemas.openxmlformats.org/officeDocument/2006/customXml" ds:itemID="{1F5CAF52-01E0-4731-AA47-45E54654F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78EA72-E7A9-4323-B9FC-402034FD1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1675</Words>
  <Characters>7538</Characters>
  <Application>Microsoft Office Word</Application>
  <DocSecurity>0</DocSecurity>
  <Lines>137</Lines>
  <Paragraphs>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cp:lastModifiedBy>
  <cp:revision>3</cp:revision>
  <dcterms:created xsi:type="dcterms:W3CDTF">2017-09-29T06:34:00Z</dcterms:created>
  <dcterms:modified xsi:type="dcterms:W3CDTF">2017-09-29T06:37:00Z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2017-09-29 06:37:12Z</vt:lpwstr>
  </property>
  <property fmtid="{D5CDD505-2E9C-101B-9397-08002B2CF9AE}" pid="6" name="CTPClassification">
    <vt:lpwstr>CTP_IC</vt:lpwstr>
  </property>
</Properties>
</file>